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BA" w:rsidRDefault="001C145A" w:rsidP="00251351">
      <w:pPr>
        <w:rPr>
          <w:b/>
          <w:sz w:val="20"/>
          <w:szCs w:val="20"/>
          <w:lang w:val="en-AU" w:eastAsia="x-none"/>
        </w:rPr>
      </w:pPr>
      <w:r>
        <w:rPr>
          <w:b/>
          <w:sz w:val="20"/>
          <w:szCs w:val="20"/>
          <w:lang w:val="en-AU" w:eastAsia="x-none"/>
        </w:rPr>
        <w:t xml:space="preserve">MISSIONS INTERLINK - </w:t>
      </w:r>
      <w:r w:rsidR="00B408BA">
        <w:rPr>
          <w:b/>
          <w:sz w:val="20"/>
          <w:szCs w:val="20"/>
          <w:lang w:val="en-AU" w:eastAsia="x-none"/>
        </w:rPr>
        <w:t xml:space="preserve">ANTI-TERRORISM POLICY TEMPLATE </w:t>
      </w:r>
    </w:p>
    <w:p w:rsidR="00B408BA" w:rsidRPr="00DD65E9" w:rsidRDefault="00B408BA" w:rsidP="00251351">
      <w:pPr>
        <w:rPr>
          <w:b/>
          <w:i/>
          <w:color w:val="FF0000"/>
          <w:sz w:val="20"/>
          <w:szCs w:val="20"/>
          <w:lang w:val="en-AU" w:eastAsia="x-none"/>
        </w:rPr>
      </w:pPr>
      <w:r w:rsidRPr="00DD65E9">
        <w:rPr>
          <w:b/>
          <w:i/>
          <w:color w:val="FF0000"/>
          <w:sz w:val="20"/>
          <w:szCs w:val="20"/>
          <w:lang w:val="en-AU" w:eastAsia="x-none"/>
        </w:rPr>
        <w:t>FOR ORGANISATIONS REMITTING FUNDS TO OVERSEAS PROJECT PARTNERS</w:t>
      </w:r>
    </w:p>
    <w:p w:rsidR="00251351" w:rsidRPr="00DD65E9" w:rsidRDefault="00251351" w:rsidP="00251351">
      <w:pPr>
        <w:rPr>
          <w:b/>
          <w:i/>
          <w:sz w:val="20"/>
          <w:szCs w:val="20"/>
          <w:lang w:val="en-AU" w:eastAsia="x-none"/>
        </w:rPr>
      </w:pPr>
      <w:r w:rsidRPr="00DD65E9">
        <w:rPr>
          <w:b/>
          <w:i/>
          <w:sz w:val="20"/>
          <w:szCs w:val="20"/>
          <w:lang w:val="en-AU" w:eastAsia="x-none"/>
        </w:rPr>
        <w:t xml:space="preserve">This policy template has been produced by Missions Interlink to assist its Members. It is intended as a starting point only and you will need to adapt it to your own organisation’s activities, needs and structure. </w:t>
      </w:r>
      <w:r w:rsidR="00C80EB6" w:rsidRPr="00DD65E9">
        <w:rPr>
          <w:b/>
          <w:i/>
          <w:sz w:val="20"/>
          <w:szCs w:val="20"/>
          <w:lang w:val="en-AU" w:eastAsia="x-none"/>
        </w:rPr>
        <w:t xml:space="preserve">The term “Board” is used to cover Boards, </w:t>
      </w:r>
      <w:r w:rsidR="001126E6" w:rsidRPr="00DD65E9">
        <w:rPr>
          <w:b/>
          <w:i/>
          <w:sz w:val="20"/>
          <w:szCs w:val="20"/>
          <w:lang w:val="en-AU" w:eastAsia="x-none"/>
        </w:rPr>
        <w:t xml:space="preserve">Committees of Management or </w:t>
      </w:r>
      <w:r w:rsidR="00C80EB6" w:rsidRPr="00DD65E9">
        <w:rPr>
          <w:b/>
          <w:i/>
          <w:sz w:val="20"/>
          <w:szCs w:val="20"/>
          <w:lang w:val="en-AU" w:eastAsia="x-none"/>
        </w:rPr>
        <w:t xml:space="preserve">whatever name you have for the body that has final authority in your organisation. </w:t>
      </w:r>
    </w:p>
    <w:p w:rsidR="00DD65E9" w:rsidRDefault="00DD65E9" w:rsidP="00F76612">
      <w:pPr>
        <w:pStyle w:val="Heading2"/>
        <w:spacing w:before="60" w:after="120"/>
        <w:rPr>
          <w:lang w:val="en-AU"/>
        </w:rPr>
      </w:pPr>
    </w:p>
    <w:p w:rsidR="00DD65E9" w:rsidRDefault="00DD65E9" w:rsidP="00DD65E9">
      <w:pPr>
        <w:rPr>
          <w:b/>
        </w:rPr>
      </w:pPr>
      <w:r w:rsidRPr="00251351">
        <w:rPr>
          <w:b/>
        </w:rPr>
        <w:t>[Name of Organisation]</w:t>
      </w:r>
      <w:r>
        <w:rPr>
          <w:b/>
        </w:rPr>
        <w:tab/>
      </w:r>
      <w:r>
        <w:rPr>
          <w:b/>
        </w:rPr>
        <w:tab/>
      </w:r>
      <w:r>
        <w:rPr>
          <w:b/>
        </w:rPr>
        <w:tab/>
      </w:r>
      <w:r>
        <w:rPr>
          <w:b/>
        </w:rPr>
        <w:tab/>
      </w:r>
      <w:r>
        <w:rPr>
          <w:b/>
        </w:rPr>
        <w:tab/>
      </w:r>
      <w:r>
        <w:rPr>
          <w:b/>
        </w:rPr>
        <w:tab/>
      </w:r>
      <w:r>
        <w:rPr>
          <w:b/>
        </w:rPr>
        <w:tab/>
      </w:r>
      <w:r>
        <w:rPr>
          <w:b/>
        </w:rPr>
        <w:tab/>
        <w:t xml:space="preserve"> [Logo]</w:t>
      </w:r>
    </w:p>
    <w:p w:rsidR="00DD65E9" w:rsidRPr="00251351" w:rsidRDefault="00DD65E9" w:rsidP="00DD65E9">
      <w:pPr>
        <w:rPr>
          <w:b/>
        </w:rPr>
      </w:pPr>
    </w:p>
    <w:p w:rsidR="00DD65E9" w:rsidRPr="00BA04A5" w:rsidRDefault="00DD65E9" w:rsidP="00DD65E9">
      <w:pPr>
        <w:jc w:val="center"/>
        <w:rPr>
          <w:b/>
          <w:sz w:val="44"/>
          <w:lang w:val="en-AU"/>
        </w:rPr>
      </w:pPr>
      <w:r w:rsidRPr="00BA04A5">
        <w:rPr>
          <w:b/>
          <w:sz w:val="44"/>
          <w:lang w:val="en-AU"/>
        </w:rPr>
        <w:t>ANTI-TERRORISM POLICY</w:t>
      </w:r>
    </w:p>
    <w:tbl>
      <w:tblPr>
        <w:tblStyle w:val="TableGrid"/>
        <w:tblW w:w="9487" w:type="dxa"/>
        <w:tblLook w:val="04A0" w:firstRow="1" w:lastRow="0" w:firstColumn="1" w:lastColumn="0" w:noHBand="0" w:noVBand="1"/>
      </w:tblPr>
      <w:tblGrid>
        <w:gridCol w:w="2232"/>
        <w:gridCol w:w="2720"/>
        <w:gridCol w:w="2570"/>
        <w:gridCol w:w="1965"/>
      </w:tblGrid>
      <w:tr w:rsidR="00DD65E9" w:rsidRPr="00B02CA3" w:rsidTr="0055228A">
        <w:trPr>
          <w:trHeight w:val="363"/>
        </w:trPr>
        <w:tc>
          <w:tcPr>
            <w:tcW w:w="2232" w:type="dxa"/>
            <w:shd w:val="pct10" w:color="auto" w:fill="auto"/>
          </w:tcPr>
          <w:p w:rsidR="00DD65E9" w:rsidRPr="00B02CA3" w:rsidRDefault="00DD65E9" w:rsidP="0055228A">
            <w:pPr>
              <w:spacing w:after="60"/>
              <w:jc w:val="right"/>
              <w:rPr>
                <w:sz w:val="22"/>
                <w:szCs w:val="22"/>
                <w:lang w:val="en-AU"/>
              </w:rPr>
            </w:pPr>
            <w:r>
              <w:rPr>
                <w:sz w:val="22"/>
                <w:szCs w:val="22"/>
                <w:lang w:val="en-AU"/>
              </w:rPr>
              <w:t>Policy number:</w:t>
            </w:r>
          </w:p>
        </w:tc>
        <w:tc>
          <w:tcPr>
            <w:tcW w:w="2720" w:type="dxa"/>
            <w:tcBorders>
              <w:right w:val="single" w:sz="24" w:space="0" w:color="auto"/>
            </w:tcBorders>
          </w:tcPr>
          <w:p w:rsidR="00DD65E9" w:rsidRPr="00B02CA3" w:rsidRDefault="00DD65E9" w:rsidP="0055228A">
            <w:pPr>
              <w:spacing w:after="60"/>
              <w:rPr>
                <w:sz w:val="22"/>
                <w:szCs w:val="22"/>
                <w:lang w:val="en-AU"/>
              </w:rPr>
            </w:pPr>
          </w:p>
        </w:tc>
        <w:tc>
          <w:tcPr>
            <w:tcW w:w="2570" w:type="dxa"/>
            <w:tcBorders>
              <w:left w:val="single" w:sz="24" w:space="0" w:color="auto"/>
            </w:tcBorders>
            <w:shd w:val="pct10" w:color="auto" w:fill="auto"/>
          </w:tcPr>
          <w:p w:rsidR="00DD65E9" w:rsidRPr="00B02CA3" w:rsidRDefault="00DD65E9" w:rsidP="0055228A">
            <w:pPr>
              <w:spacing w:after="60"/>
              <w:jc w:val="right"/>
              <w:rPr>
                <w:sz w:val="22"/>
                <w:szCs w:val="22"/>
                <w:lang w:val="en-AU"/>
              </w:rPr>
            </w:pPr>
            <w:r>
              <w:rPr>
                <w:sz w:val="22"/>
                <w:szCs w:val="22"/>
                <w:lang w:val="en-AU"/>
              </w:rPr>
              <w:t>Version:</w:t>
            </w:r>
          </w:p>
        </w:tc>
        <w:tc>
          <w:tcPr>
            <w:tcW w:w="1965" w:type="dxa"/>
          </w:tcPr>
          <w:p w:rsidR="00DD65E9" w:rsidRPr="00B02CA3" w:rsidRDefault="00DD65E9" w:rsidP="0055228A">
            <w:pPr>
              <w:spacing w:after="60"/>
              <w:rPr>
                <w:sz w:val="22"/>
                <w:szCs w:val="22"/>
                <w:lang w:val="en-AU"/>
              </w:rPr>
            </w:pPr>
          </w:p>
        </w:tc>
      </w:tr>
      <w:tr w:rsidR="00DD65E9" w:rsidRPr="00B02CA3" w:rsidTr="0055228A">
        <w:trPr>
          <w:trHeight w:val="363"/>
        </w:trPr>
        <w:tc>
          <w:tcPr>
            <w:tcW w:w="2232" w:type="dxa"/>
            <w:shd w:val="pct10" w:color="auto" w:fill="auto"/>
          </w:tcPr>
          <w:p w:rsidR="00DD65E9" w:rsidRPr="00B02CA3" w:rsidRDefault="00DD65E9" w:rsidP="0055228A">
            <w:pPr>
              <w:spacing w:after="60"/>
              <w:jc w:val="right"/>
              <w:rPr>
                <w:sz w:val="22"/>
                <w:szCs w:val="22"/>
                <w:lang w:val="en-AU"/>
              </w:rPr>
            </w:pPr>
            <w:r w:rsidRPr="00B02CA3">
              <w:rPr>
                <w:sz w:val="22"/>
                <w:szCs w:val="22"/>
                <w:lang w:val="en-AU"/>
              </w:rPr>
              <w:t>Drafted by</w:t>
            </w:r>
            <w:r>
              <w:rPr>
                <w:sz w:val="22"/>
                <w:szCs w:val="22"/>
                <w:lang w:val="en-AU"/>
              </w:rPr>
              <w:t>:</w:t>
            </w:r>
          </w:p>
        </w:tc>
        <w:tc>
          <w:tcPr>
            <w:tcW w:w="2720" w:type="dxa"/>
            <w:tcBorders>
              <w:right w:val="single" w:sz="24" w:space="0" w:color="auto"/>
            </w:tcBorders>
          </w:tcPr>
          <w:p w:rsidR="00DD65E9" w:rsidRPr="00B02CA3" w:rsidRDefault="00DD65E9" w:rsidP="0055228A">
            <w:pPr>
              <w:spacing w:after="60"/>
              <w:rPr>
                <w:sz w:val="22"/>
                <w:szCs w:val="22"/>
                <w:lang w:val="en-AU"/>
              </w:rPr>
            </w:pPr>
          </w:p>
        </w:tc>
        <w:tc>
          <w:tcPr>
            <w:tcW w:w="2570" w:type="dxa"/>
            <w:tcBorders>
              <w:left w:val="single" w:sz="24" w:space="0" w:color="auto"/>
            </w:tcBorders>
            <w:shd w:val="pct10" w:color="auto" w:fill="auto"/>
          </w:tcPr>
          <w:p w:rsidR="00DD65E9" w:rsidRPr="00B02CA3" w:rsidRDefault="00DD65E9" w:rsidP="0055228A">
            <w:pPr>
              <w:spacing w:after="60"/>
              <w:jc w:val="right"/>
              <w:rPr>
                <w:sz w:val="22"/>
                <w:szCs w:val="22"/>
                <w:lang w:val="en-AU"/>
              </w:rPr>
            </w:pPr>
            <w:r w:rsidRPr="00B02CA3">
              <w:rPr>
                <w:sz w:val="22"/>
                <w:szCs w:val="22"/>
                <w:lang w:val="en-AU"/>
              </w:rPr>
              <w:t>Approved by Board on</w:t>
            </w:r>
            <w:r>
              <w:rPr>
                <w:sz w:val="22"/>
                <w:szCs w:val="22"/>
                <w:lang w:val="en-AU"/>
              </w:rPr>
              <w:t>:</w:t>
            </w:r>
          </w:p>
        </w:tc>
        <w:tc>
          <w:tcPr>
            <w:tcW w:w="1965" w:type="dxa"/>
          </w:tcPr>
          <w:p w:rsidR="00DD65E9" w:rsidRPr="00B02CA3" w:rsidRDefault="00DD65E9" w:rsidP="0055228A">
            <w:pPr>
              <w:spacing w:after="60"/>
              <w:rPr>
                <w:sz w:val="22"/>
                <w:szCs w:val="22"/>
                <w:lang w:val="en-AU"/>
              </w:rPr>
            </w:pPr>
          </w:p>
        </w:tc>
      </w:tr>
      <w:tr w:rsidR="00DD65E9" w:rsidRPr="00B02CA3" w:rsidTr="0055228A">
        <w:trPr>
          <w:trHeight w:val="431"/>
        </w:trPr>
        <w:tc>
          <w:tcPr>
            <w:tcW w:w="2232" w:type="dxa"/>
            <w:shd w:val="pct10" w:color="auto" w:fill="auto"/>
          </w:tcPr>
          <w:p w:rsidR="00DD65E9" w:rsidRPr="00B02CA3" w:rsidRDefault="00DD65E9" w:rsidP="0055228A">
            <w:pPr>
              <w:jc w:val="right"/>
              <w:rPr>
                <w:sz w:val="22"/>
                <w:szCs w:val="22"/>
                <w:lang w:val="en-AU"/>
              </w:rPr>
            </w:pPr>
            <w:r w:rsidRPr="00B02CA3">
              <w:rPr>
                <w:sz w:val="22"/>
                <w:szCs w:val="22"/>
                <w:lang w:val="en-AU"/>
              </w:rPr>
              <w:t>Responsible person</w:t>
            </w:r>
            <w:r>
              <w:rPr>
                <w:sz w:val="22"/>
                <w:szCs w:val="22"/>
                <w:lang w:val="en-AU"/>
              </w:rPr>
              <w:t>:</w:t>
            </w:r>
          </w:p>
        </w:tc>
        <w:tc>
          <w:tcPr>
            <w:tcW w:w="2720" w:type="dxa"/>
            <w:tcBorders>
              <w:right w:val="single" w:sz="24" w:space="0" w:color="auto"/>
            </w:tcBorders>
          </w:tcPr>
          <w:p w:rsidR="00DD65E9" w:rsidRPr="00B02CA3" w:rsidRDefault="00DD65E9" w:rsidP="0055228A">
            <w:pPr>
              <w:rPr>
                <w:sz w:val="22"/>
                <w:szCs w:val="22"/>
                <w:lang w:val="en-AU"/>
              </w:rPr>
            </w:pPr>
          </w:p>
        </w:tc>
        <w:tc>
          <w:tcPr>
            <w:tcW w:w="2570" w:type="dxa"/>
            <w:tcBorders>
              <w:left w:val="single" w:sz="24" w:space="0" w:color="auto"/>
            </w:tcBorders>
            <w:shd w:val="pct10" w:color="auto" w:fill="auto"/>
          </w:tcPr>
          <w:p w:rsidR="00DD65E9" w:rsidRPr="00B02CA3" w:rsidRDefault="00DD65E9" w:rsidP="0055228A">
            <w:pPr>
              <w:jc w:val="right"/>
              <w:rPr>
                <w:sz w:val="22"/>
                <w:szCs w:val="22"/>
                <w:lang w:val="en-AU"/>
              </w:rPr>
            </w:pPr>
            <w:r w:rsidRPr="00B02CA3">
              <w:rPr>
                <w:sz w:val="22"/>
                <w:szCs w:val="22"/>
                <w:lang w:val="en-AU"/>
              </w:rPr>
              <w:t>Scheduled review date</w:t>
            </w:r>
          </w:p>
        </w:tc>
        <w:tc>
          <w:tcPr>
            <w:tcW w:w="1965" w:type="dxa"/>
          </w:tcPr>
          <w:p w:rsidR="00DD65E9" w:rsidRPr="00B02CA3" w:rsidRDefault="00DD65E9" w:rsidP="0055228A">
            <w:pPr>
              <w:rPr>
                <w:sz w:val="22"/>
                <w:szCs w:val="22"/>
                <w:lang w:val="en-AU"/>
              </w:rPr>
            </w:pPr>
          </w:p>
        </w:tc>
      </w:tr>
    </w:tbl>
    <w:p w:rsidR="00DD65E9" w:rsidRDefault="00DD65E9" w:rsidP="00F76612">
      <w:pPr>
        <w:pStyle w:val="Heading2"/>
        <w:spacing w:before="60" w:after="120"/>
        <w:rPr>
          <w:lang w:val="en-AU"/>
        </w:rPr>
      </w:pPr>
    </w:p>
    <w:p w:rsidR="002468A9" w:rsidRPr="00F76612" w:rsidRDefault="00BE6CC7" w:rsidP="00F76612">
      <w:pPr>
        <w:pStyle w:val="Heading2"/>
        <w:spacing w:before="60" w:after="120"/>
        <w:rPr>
          <w:lang w:val="en-AU"/>
        </w:rPr>
      </w:pPr>
      <w:r>
        <w:t>Introduction</w:t>
      </w:r>
    </w:p>
    <w:p w:rsidR="00F76612" w:rsidRDefault="00F76612" w:rsidP="004130A5">
      <w:r>
        <w:t>[</w:t>
      </w:r>
      <w:r w:rsidRPr="00F76612">
        <w:rPr>
          <w:sz w:val="20"/>
          <w:szCs w:val="20"/>
        </w:rPr>
        <w:t>Name of organization</w:t>
      </w:r>
      <w:r>
        <w:t xml:space="preserve">] renounces all forms of terrorism and will never knowingly support, tolerate or encourage terrorism or the activities of those who embrace terrorism and will make every effort to ensure that its resources are not used to facilitate terrorist activity. </w:t>
      </w:r>
    </w:p>
    <w:p w:rsidR="002960CC" w:rsidRPr="00FD3B4F" w:rsidRDefault="002960CC" w:rsidP="004130A5">
      <w:r w:rsidRPr="00FD3B4F">
        <w:t xml:space="preserve">This policy sets out </w:t>
      </w:r>
      <w:r w:rsidR="00F76612">
        <w:t>[</w:t>
      </w:r>
      <w:r w:rsidR="00F76612" w:rsidRPr="00F76612">
        <w:rPr>
          <w:sz w:val="20"/>
          <w:szCs w:val="20"/>
        </w:rPr>
        <w:t>name of organization</w:t>
      </w:r>
      <w:r w:rsidR="00F76612">
        <w:t>]</w:t>
      </w:r>
      <w:r w:rsidR="00F77EE5">
        <w:t>’s</w:t>
      </w:r>
      <w:r w:rsidR="00435BB5" w:rsidRPr="00FD3B4F">
        <w:t xml:space="preserve"> response</w:t>
      </w:r>
      <w:r w:rsidR="009731D5">
        <w:t xml:space="preserve"> </w:t>
      </w:r>
      <w:r w:rsidR="002628F0" w:rsidRPr="00FD3B4F">
        <w:t xml:space="preserve">to </w:t>
      </w:r>
      <w:r w:rsidR="009731D5">
        <w:t xml:space="preserve">the risk of </w:t>
      </w:r>
      <w:r w:rsidR="009731D5" w:rsidRPr="00FD3B4F">
        <w:t>dealing with individuals and organisations associated with terrorism</w:t>
      </w:r>
      <w:r w:rsidR="009731D5">
        <w:t xml:space="preserve"> and </w:t>
      </w:r>
      <w:r w:rsidR="002628F0" w:rsidRPr="00FD3B4F">
        <w:t>Australia Governme</w:t>
      </w:r>
      <w:r w:rsidR="009731D5">
        <w:t>nt legislation associated with this</w:t>
      </w:r>
      <w:r w:rsidR="002628F0" w:rsidRPr="00FD3B4F">
        <w:t>.</w:t>
      </w:r>
    </w:p>
    <w:p w:rsidR="002628F0" w:rsidRPr="00FD3B4F" w:rsidRDefault="002628F0" w:rsidP="004130A5">
      <w:r w:rsidRPr="00FD3B4F">
        <w:t xml:space="preserve">Relevant legislation can be found in: </w:t>
      </w:r>
    </w:p>
    <w:p w:rsidR="002628F0" w:rsidRPr="00FD3B4F" w:rsidRDefault="002628F0" w:rsidP="002628F0">
      <w:pPr>
        <w:numPr>
          <w:ilvl w:val="0"/>
          <w:numId w:val="27"/>
        </w:numPr>
        <w:rPr>
          <w:rFonts w:cs="Symbol"/>
          <w:color w:val="000000"/>
        </w:rPr>
      </w:pPr>
      <w:r w:rsidRPr="00FD3B4F">
        <w:rPr>
          <w:rFonts w:cs="Garamond"/>
          <w:color w:val="000000"/>
        </w:rPr>
        <w:t xml:space="preserve">Part 5.3 of the Criminal Code Act 1995 (‘the Criminal Code’); and </w:t>
      </w:r>
      <w:r w:rsidRPr="00FD3B4F">
        <w:rPr>
          <w:rFonts w:cs="Symbol"/>
          <w:color w:val="000000"/>
        </w:rPr>
        <w:tab/>
      </w:r>
    </w:p>
    <w:p w:rsidR="002628F0" w:rsidRPr="00FD3B4F" w:rsidRDefault="002628F0" w:rsidP="002628F0">
      <w:pPr>
        <w:numPr>
          <w:ilvl w:val="0"/>
          <w:numId w:val="27"/>
        </w:numPr>
      </w:pPr>
      <w:r w:rsidRPr="00FD3B4F">
        <w:rPr>
          <w:rFonts w:cs="Garamond"/>
          <w:color w:val="000000"/>
        </w:rPr>
        <w:t>Part 4 of the Charter of United Nations Act 1945 (‘the UN Charter Act’)</w:t>
      </w:r>
    </w:p>
    <w:p w:rsidR="00F76612" w:rsidRPr="00F76612" w:rsidRDefault="002628F0" w:rsidP="00F766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Garamond"/>
          <w:color w:val="000000"/>
        </w:rPr>
      </w:pPr>
      <w:r w:rsidRPr="00FD3B4F">
        <w:rPr>
          <w:rFonts w:cs="Garamond"/>
          <w:color w:val="000000"/>
        </w:rPr>
        <w:t>Failure to comply with Government requirements could significant impact the re</w:t>
      </w:r>
      <w:r w:rsidR="00F76612">
        <w:rPr>
          <w:rFonts w:cs="Garamond"/>
          <w:color w:val="000000"/>
        </w:rPr>
        <w:t>putation of [</w:t>
      </w:r>
      <w:r w:rsidR="00F76612" w:rsidRPr="00F76612">
        <w:rPr>
          <w:rFonts w:cs="Garamond"/>
          <w:color w:val="000000"/>
          <w:sz w:val="20"/>
          <w:szCs w:val="20"/>
        </w:rPr>
        <w:t>name of organization</w:t>
      </w:r>
      <w:r w:rsidR="00F76612">
        <w:rPr>
          <w:rFonts w:cs="Garamond"/>
          <w:color w:val="000000"/>
        </w:rPr>
        <w:t>]</w:t>
      </w:r>
      <w:r w:rsidRPr="00FD3B4F">
        <w:rPr>
          <w:rFonts w:cs="Garamond"/>
          <w:color w:val="000000"/>
        </w:rPr>
        <w:t xml:space="preserve"> as well as expose the organisation to potential penalties.</w:t>
      </w:r>
    </w:p>
    <w:p w:rsidR="002468A9" w:rsidRPr="00E00D3C" w:rsidRDefault="00E00D3C" w:rsidP="00E00D3C">
      <w:pPr>
        <w:pStyle w:val="Heading2"/>
        <w:spacing w:before="60" w:after="120"/>
        <w:rPr>
          <w:lang w:val="en-AU"/>
        </w:rPr>
      </w:pPr>
      <w:r>
        <w:t>Policy</w:t>
      </w:r>
    </w:p>
    <w:p w:rsidR="00C64BF6" w:rsidRPr="00FD3B4F" w:rsidRDefault="009731D5" w:rsidP="00FD3B4F">
      <w:pPr>
        <w:pStyle w:val="ColorfulList-Accent11"/>
        <w:numPr>
          <w:ilvl w:val="0"/>
          <w:numId w:val="23"/>
        </w:numPr>
        <w:spacing w:after="120"/>
        <w:ind w:left="567" w:hanging="556"/>
        <w:rPr>
          <w:rFonts w:ascii="Calibri" w:hAnsi="Calibri"/>
        </w:rPr>
      </w:pPr>
      <w:r>
        <w:rPr>
          <w:rFonts w:ascii="Calibri" w:hAnsi="Calibri"/>
        </w:rPr>
        <w:t>[</w:t>
      </w:r>
      <w:r w:rsidRPr="009731D5">
        <w:rPr>
          <w:rFonts w:ascii="Calibri" w:hAnsi="Calibri"/>
          <w:sz w:val="20"/>
          <w:szCs w:val="20"/>
        </w:rPr>
        <w:t xml:space="preserve">Name of </w:t>
      </w:r>
      <w:r>
        <w:rPr>
          <w:rFonts w:ascii="Calibri" w:hAnsi="Calibri"/>
          <w:sz w:val="20"/>
          <w:szCs w:val="20"/>
        </w:rPr>
        <w:t>organis</w:t>
      </w:r>
      <w:r w:rsidRPr="009731D5">
        <w:rPr>
          <w:rFonts w:ascii="Calibri" w:hAnsi="Calibri"/>
          <w:sz w:val="20"/>
          <w:szCs w:val="20"/>
        </w:rPr>
        <w:t>ation</w:t>
      </w:r>
      <w:r>
        <w:rPr>
          <w:rFonts w:ascii="Calibri" w:hAnsi="Calibri"/>
        </w:rPr>
        <w:t>]</w:t>
      </w:r>
      <w:r w:rsidR="003E0799" w:rsidRPr="00FD3B4F">
        <w:rPr>
          <w:rFonts w:ascii="Calibri" w:hAnsi="Calibri"/>
        </w:rPr>
        <w:t xml:space="preserve"> acknowledges that Australian Government legislation prohibits dealing with listed terrorist organizations and/or pros</w:t>
      </w:r>
      <w:r>
        <w:rPr>
          <w:rFonts w:ascii="Calibri" w:hAnsi="Calibri"/>
        </w:rPr>
        <w:t>cribed persons or entities. [</w:t>
      </w:r>
      <w:r w:rsidRPr="009731D5">
        <w:rPr>
          <w:rFonts w:ascii="Calibri" w:hAnsi="Calibri"/>
          <w:sz w:val="20"/>
          <w:szCs w:val="20"/>
        </w:rPr>
        <w:t xml:space="preserve">Name of </w:t>
      </w:r>
      <w:r>
        <w:rPr>
          <w:rFonts w:ascii="Calibri" w:hAnsi="Calibri"/>
          <w:sz w:val="20"/>
          <w:szCs w:val="20"/>
        </w:rPr>
        <w:t>organis</w:t>
      </w:r>
      <w:r w:rsidRPr="009731D5">
        <w:rPr>
          <w:rFonts w:ascii="Calibri" w:hAnsi="Calibri"/>
          <w:sz w:val="20"/>
          <w:szCs w:val="20"/>
        </w:rPr>
        <w:t>ation</w:t>
      </w:r>
      <w:r>
        <w:rPr>
          <w:rFonts w:ascii="Calibri" w:hAnsi="Calibri"/>
        </w:rPr>
        <w:t>]</w:t>
      </w:r>
      <w:r w:rsidRPr="00FD3B4F">
        <w:rPr>
          <w:rFonts w:ascii="Calibri" w:hAnsi="Calibri"/>
        </w:rPr>
        <w:t xml:space="preserve"> </w:t>
      </w:r>
      <w:r w:rsidR="003E0799" w:rsidRPr="00FD3B4F">
        <w:rPr>
          <w:rFonts w:ascii="Calibri" w:hAnsi="Calibri"/>
        </w:rPr>
        <w:t xml:space="preserve">will at all times adopt measures </w:t>
      </w:r>
      <w:r w:rsidR="00435BB5" w:rsidRPr="00FD3B4F">
        <w:rPr>
          <w:rFonts w:ascii="Calibri" w:hAnsi="Calibri"/>
        </w:rPr>
        <w:t xml:space="preserve">intended to facilitate compliance </w:t>
      </w:r>
      <w:r w:rsidR="003E0799" w:rsidRPr="00FD3B4F">
        <w:rPr>
          <w:rFonts w:ascii="Calibri" w:hAnsi="Calibri"/>
        </w:rPr>
        <w:t>with this legislation.</w:t>
      </w:r>
      <w:r w:rsidR="00C64BF6" w:rsidRPr="00FD3B4F">
        <w:rPr>
          <w:rFonts w:ascii="Calibri" w:hAnsi="Calibri"/>
        </w:rPr>
        <w:t xml:space="preserve"> </w:t>
      </w:r>
    </w:p>
    <w:p w:rsidR="00C64BF6" w:rsidRPr="00FD3B4F" w:rsidRDefault="00C64BF6" w:rsidP="00FD3B4F">
      <w:pPr>
        <w:pStyle w:val="ColorfulList-Accent11"/>
        <w:spacing w:after="120"/>
        <w:ind w:left="567" w:hanging="556"/>
        <w:rPr>
          <w:rFonts w:ascii="Calibri" w:hAnsi="Calibri"/>
        </w:rPr>
      </w:pPr>
    </w:p>
    <w:p w:rsidR="00C64BF6" w:rsidRPr="00FD3B4F" w:rsidRDefault="009731D5" w:rsidP="00FD3B4F">
      <w:pPr>
        <w:pStyle w:val="ColorfulList-Accent11"/>
        <w:numPr>
          <w:ilvl w:val="0"/>
          <w:numId w:val="23"/>
        </w:numPr>
        <w:spacing w:after="120"/>
        <w:ind w:left="567" w:hanging="556"/>
        <w:rPr>
          <w:rFonts w:ascii="Calibri" w:hAnsi="Calibri"/>
        </w:rPr>
      </w:pPr>
      <w:r>
        <w:rPr>
          <w:rFonts w:ascii="Calibri" w:hAnsi="Calibri"/>
        </w:rPr>
        <w:t>[</w:t>
      </w:r>
      <w:r w:rsidRPr="009731D5">
        <w:rPr>
          <w:rFonts w:ascii="Calibri" w:hAnsi="Calibri"/>
          <w:sz w:val="20"/>
          <w:szCs w:val="20"/>
        </w:rPr>
        <w:t xml:space="preserve">Name of </w:t>
      </w:r>
      <w:r>
        <w:rPr>
          <w:rFonts w:ascii="Calibri" w:hAnsi="Calibri"/>
          <w:sz w:val="20"/>
          <w:szCs w:val="20"/>
        </w:rPr>
        <w:t>organis</w:t>
      </w:r>
      <w:r w:rsidRPr="009731D5">
        <w:rPr>
          <w:rFonts w:ascii="Calibri" w:hAnsi="Calibri"/>
          <w:sz w:val="20"/>
          <w:szCs w:val="20"/>
        </w:rPr>
        <w:t>ation</w:t>
      </w:r>
      <w:r>
        <w:rPr>
          <w:rFonts w:ascii="Calibri" w:hAnsi="Calibri"/>
        </w:rPr>
        <w:t>]</w:t>
      </w:r>
      <w:r w:rsidRPr="00FD3B4F">
        <w:rPr>
          <w:rFonts w:ascii="Calibri" w:hAnsi="Calibri"/>
        </w:rPr>
        <w:t xml:space="preserve"> </w:t>
      </w:r>
      <w:r w:rsidR="00C64BF6" w:rsidRPr="00FD3B4F">
        <w:rPr>
          <w:rFonts w:ascii="Calibri" w:hAnsi="Calibri"/>
        </w:rPr>
        <w:t>will confirm the identity, credentials and good standing of the people or organi</w:t>
      </w:r>
      <w:r>
        <w:rPr>
          <w:rFonts w:ascii="Calibri" w:hAnsi="Calibri"/>
        </w:rPr>
        <w:t>sat</w:t>
      </w:r>
      <w:r w:rsidR="00E00D3C">
        <w:rPr>
          <w:rFonts w:ascii="Calibri" w:hAnsi="Calibri"/>
        </w:rPr>
        <w:t>ions it supports</w:t>
      </w:r>
      <w:r w:rsidR="00C64BF6" w:rsidRPr="00FD3B4F">
        <w:rPr>
          <w:rFonts w:ascii="Calibri" w:hAnsi="Calibri"/>
        </w:rPr>
        <w:t xml:space="preserve"> and will check</w:t>
      </w:r>
      <w:r w:rsidR="00C64BF6" w:rsidRPr="00FD3B4F">
        <w:rPr>
          <w:rFonts w:ascii="Calibri" w:hAnsi="Calibri"/>
          <w:spacing w:val="16"/>
        </w:rPr>
        <w:t xml:space="preserve"> </w:t>
      </w:r>
      <w:r w:rsidR="00C64BF6" w:rsidRPr="00FD3B4F">
        <w:rPr>
          <w:rFonts w:ascii="Calibri" w:hAnsi="Calibri"/>
        </w:rPr>
        <w:t>that</w:t>
      </w:r>
      <w:r w:rsidR="00C64BF6" w:rsidRPr="00FD3B4F">
        <w:rPr>
          <w:rFonts w:ascii="Calibri" w:hAnsi="Calibri"/>
          <w:spacing w:val="16"/>
        </w:rPr>
        <w:t xml:space="preserve"> </w:t>
      </w:r>
      <w:r w:rsidR="00C64BF6" w:rsidRPr="00FD3B4F">
        <w:rPr>
          <w:rFonts w:ascii="Calibri" w:hAnsi="Calibri"/>
        </w:rPr>
        <w:t>the</w:t>
      </w:r>
      <w:r w:rsidR="00E00D3C">
        <w:rPr>
          <w:rFonts w:ascii="Calibri" w:hAnsi="Calibri"/>
        </w:rPr>
        <w:t>se</w:t>
      </w:r>
      <w:r w:rsidR="00C64BF6" w:rsidRPr="00FD3B4F">
        <w:rPr>
          <w:rFonts w:ascii="Calibri" w:hAnsi="Calibri"/>
          <w:spacing w:val="23"/>
        </w:rPr>
        <w:t xml:space="preserve"> </w:t>
      </w:r>
      <w:r w:rsidR="00C64BF6" w:rsidRPr="00FD3B4F">
        <w:rPr>
          <w:rFonts w:ascii="Calibri" w:hAnsi="Calibri"/>
        </w:rPr>
        <w:t>people</w:t>
      </w:r>
      <w:r w:rsidR="00C64BF6" w:rsidRPr="00FD3B4F">
        <w:rPr>
          <w:rFonts w:ascii="Calibri" w:hAnsi="Calibri"/>
          <w:spacing w:val="17"/>
        </w:rPr>
        <w:t xml:space="preserve"> </w:t>
      </w:r>
      <w:r w:rsidR="00C64BF6" w:rsidRPr="00FD3B4F">
        <w:rPr>
          <w:rFonts w:ascii="Calibri" w:hAnsi="Calibri"/>
        </w:rPr>
        <w:t>or</w:t>
      </w:r>
      <w:r w:rsidR="00C64BF6" w:rsidRPr="00FD3B4F">
        <w:rPr>
          <w:rFonts w:ascii="Calibri" w:hAnsi="Calibri"/>
          <w:spacing w:val="13"/>
        </w:rPr>
        <w:t xml:space="preserve"> </w:t>
      </w:r>
      <w:r w:rsidR="00C64BF6" w:rsidRPr="00FD3B4F">
        <w:rPr>
          <w:rFonts w:ascii="Calibri" w:hAnsi="Calibri"/>
        </w:rPr>
        <w:t>organisations</w:t>
      </w:r>
      <w:r w:rsidR="00C64BF6" w:rsidRPr="00FD3B4F">
        <w:rPr>
          <w:rFonts w:ascii="Calibri" w:hAnsi="Calibri"/>
          <w:spacing w:val="38"/>
        </w:rPr>
        <w:t xml:space="preserve"> </w:t>
      </w:r>
      <w:r w:rsidR="00C64BF6" w:rsidRPr="00FD3B4F">
        <w:rPr>
          <w:rFonts w:ascii="Calibri" w:hAnsi="Calibri"/>
        </w:rPr>
        <w:t>are</w:t>
      </w:r>
      <w:r w:rsidR="00C64BF6" w:rsidRPr="00FD3B4F">
        <w:rPr>
          <w:rFonts w:ascii="Calibri" w:hAnsi="Calibri"/>
          <w:spacing w:val="17"/>
        </w:rPr>
        <w:t xml:space="preserve"> </w:t>
      </w:r>
      <w:r w:rsidR="00C64BF6" w:rsidRPr="00FD3B4F">
        <w:rPr>
          <w:rFonts w:ascii="Calibri" w:hAnsi="Calibri"/>
        </w:rPr>
        <w:t>not</w:t>
      </w:r>
      <w:r w:rsidR="00C64BF6" w:rsidRPr="00FD3B4F">
        <w:rPr>
          <w:rFonts w:ascii="Calibri" w:hAnsi="Calibri"/>
          <w:spacing w:val="13"/>
        </w:rPr>
        <w:t xml:space="preserve"> </w:t>
      </w:r>
      <w:r w:rsidR="00C64BF6" w:rsidRPr="00FD3B4F">
        <w:rPr>
          <w:rFonts w:ascii="Calibri" w:hAnsi="Calibri"/>
        </w:rPr>
        <w:t>on</w:t>
      </w:r>
      <w:r w:rsidR="00C64BF6" w:rsidRPr="00FD3B4F">
        <w:rPr>
          <w:rFonts w:ascii="Calibri" w:hAnsi="Calibri"/>
          <w:spacing w:val="12"/>
        </w:rPr>
        <w:t xml:space="preserve"> </w:t>
      </w:r>
      <w:r w:rsidR="00C64BF6" w:rsidRPr="00FD3B4F">
        <w:rPr>
          <w:rFonts w:ascii="Calibri" w:hAnsi="Calibri"/>
        </w:rPr>
        <w:t>the</w:t>
      </w:r>
      <w:r w:rsidR="00C64BF6" w:rsidRPr="00FD3B4F">
        <w:rPr>
          <w:rFonts w:ascii="Calibri" w:hAnsi="Calibri"/>
          <w:spacing w:val="31"/>
        </w:rPr>
        <w:t xml:space="preserve"> </w:t>
      </w:r>
      <w:r w:rsidR="00C64BF6" w:rsidRPr="00FD3B4F">
        <w:rPr>
          <w:rFonts w:ascii="Calibri" w:hAnsi="Calibri"/>
        </w:rPr>
        <w:t>lists</w:t>
      </w:r>
      <w:r w:rsidR="00C64BF6" w:rsidRPr="00FD3B4F">
        <w:rPr>
          <w:rFonts w:ascii="Calibri" w:hAnsi="Calibri"/>
          <w:w w:val="102"/>
        </w:rPr>
        <w:t xml:space="preserve"> </w:t>
      </w:r>
      <w:r w:rsidR="00C64BF6" w:rsidRPr="00FD3B4F">
        <w:rPr>
          <w:rFonts w:ascii="Calibri" w:hAnsi="Calibri"/>
        </w:rPr>
        <w:t>maintained</w:t>
      </w:r>
      <w:r w:rsidR="00C64BF6" w:rsidRPr="00FD3B4F">
        <w:rPr>
          <w:rFonts w:ascii="Calibri" w:hAnsi="Calibri"/>
          <w:spacing w:val="29"/>
        </w:rPr>
        <w:t xml:space="preserve"> </w:t>
      </w:r>
      <w:r w:rsidR="00C64BF6" w:rsidRPr="00FD3B4F">
        <w:rPr>
          <w:rFonts w:ascii="Calibri" w:hAnsi="Calibri"/>
        </w:rPr>
        <w:t>by</w:t>
      </w:r>
      <w:r w:rsidR="00C64BF6" w:rsidRPr="00FD3B4F">
        <w:rPr>
          <w:rFonts w:ascii="Calibri" w:hAnsi="Calibri"/>
          <w:spacing w:val="11"/>
        </w:rPr>
        <w:t xml:space="preserve"> </w:t>
      </w:r>
      <w:r w:rsidR="00C64BF6" w:rsidRPr="00FD3B4F">
        <w:rPr>
          <w:rFonts w:ascii="Calibri" w:hAnsi="Calibri"/>
        </w:rPr>
        <w:t>the</w:t>
      </w:r>
      <w:r w:rsidR="00C64BF6" w:rsidRPr="00FD3B4F">
        <w:rPr>
          <w:rFonts w:ascii="Calibri" w:hAnsi="Calibri"/>
          <w:spacing w:val="17"/>
        </w:rPr>
        <w:t xml:space="preserve"> </w:t>
      </w:r>
      <w:r w:rsidR="00C64BF6" w:rsidRPr="00FD3B4F">
        <w:rPr>
          <w:rFonts w:ascii="Calibri" w:hAnsi="Calibri"/>
        </w:rPr>
        <w:t>Australian</w:t>
      </w:r>
      <w:r w:rsidR="00C64BF6" w:rsidRPr="00FD3B4F">
        <w:rPr>
          <w:rFonts w:ascii="Calibri" w:hAnsi="Calibri"/>
          <w:spacing w:val="48"/>
        </w:rPr>
        <w:t xml:space="preserve"> </w:t>
      </w:r>
      <w:r w:rsidR="00C64BF6" w:rsidRPr="00FD3B4F">
        <w:rPr>
          <w:rFonts w:ascii="Calibri" w:hAnsi="Calibri"/>
        </w:rPr>
        <w:t>Government</w:t>
      </w:r>
      <w:r w:rsidR="00540285">
        <w:rPr>
          <w:rFonts w:ascii="Calibri" w:hAnsi="Calibri"/>
        </w:rPr>
        <w:t>.</w:t>
      </w:r>
    </w:p>
    <w:p w:rsidR="00C64BF6" w:rsidRPr="00FD3B4F" w:rsidRDefault="00C64BF6" w:rsidP="00FD3B4F">
      <w:pPr>
        <w:pStyle w:val="ColorfulList-Accent11"/>
        <w:spacing w:after="120"/>
        <w:ind w:left="567" w:hanging="556"/>
        <w:rPr>
          <w:rFonts w:ascii="Calibri" w:hAnsi="Calibri"/>
        </w:rPr>
      </w:pPr>
    </w:p>
    <w:p w:rsidR="00435BB5" w:rsidRPr="00FD3B4F" w:rsidRDefault="009731D5" w:rsidP="00FD3B4F">
      <w:pPr>
        <w:pStyle w:val="ColorfulList-Accent11"/>
        <w:numPr>
          <w:ilvl w:val="0"/>
          <w:numId w:val="23"/>
        </w:numPr>
        <w:spacing w:after="120"/>
        <w:ind w:left="567" w:hanging="556"/>
        <w:rPr>
          <w:rFonts w:ascii="Calibri" w:hAnsi="Calibri"/>
        </w:rPr>
      </w:pPr>
      <w:r>
        <w:rPr>
          <w:rFonts w:ascii="Calibri" w:hAnsi="Calibri"/>
        </w:rPr>
        <w:t>[</w:t>
      </w:r>
      <w:r w:rsidRPr="009731D5">
        <w:rPr>
          <w:rFonts w:ascii="Calibri" w:hAnsi="Calibri"/>
          <w:sz w:val="20"/>
          <w:szCs w:val="20"/>
        </w:rPr>
        <w:t xml:space="preserve">Name of </w:t>
      </w:r>
      <w:r>
        <w:rPr>
          <w:rFonts w:ascii="Calibri" w:hAnsi="Calibri"/>
          <w:sz w:val="20"/>
          <w:szCs w:val="20"/>
        </w:rPr>
        <w:t>organis</w:t>
      </w:r>
      <w:r w:rsidRPr="009731D5">
        <w:rPr>
          <w:rFonts w:ascii="Calibri" w:hAnsi="Calibri"/>
          <w:sz w:val="20"/>
          <w:szCs w:val="20"/>
        </w:rPr>
        <w:t>ation</w:t>
      </w:r>
      <w:r>
        <w:rPr>
          <w:rFonts w:ascii="Calibri" w:hAnsi="Calibri"/>
        </w:rPr>
        <w:t>]</w:t>
      </w:r>
      <w:r w:rsidR="00435BB5" w:rsidRPr="00FD3B4F">
        <w:rPr>
          <w:rFonts w:ascii="Calibri" w:hAnsi="Calibri"/>
        </w:rPr>
        <w:t xml:space="preserve"> will not knowingly remit any funds to known or suspected terrorist organisations or individuals</w:t>
      </w:r>
      <w:r>
        <w:rPr>
          <w:rFonts w:ascii="Calibri" w:hAnsi="Calibri"/>
        </w:rPr>
        <w:t>.</w:t>
      </w:r>
    </w:p>
    <w:p w:rsidR="003E0799" w:rsidRPr="00FD3B4F" w:rsidRDefault="003E0799" w:rsidP="00FD3B4F">
      <w:pPr>
        <w:pStyle w:val="ColorfulList-Accent11"/>
        <w:spacing w:after="120"/>
        <w:ind w:left="567" w:hanging="556"/>
        <w:rPr>
          <w:rFonts w:ascii="Calibri" w:hAnsi="Calibri"/>
        </w:rPr>
      </w:pPr>
    </w:p>
    <w:p w:rsidR="00F36E43" w:rsidRDefault="009731D5" w:rsidP="00F36E43">
      <w:pPr>
        <w:pStyle w:val="ColorfulList-Accent11"/>
        <w:numPr>
          <w:ilvl w:val="0"/>
          <w:numId w:val="23"/>
        </w:numPr>
        <w:spacing w:after="120"/>
        <w:ind w:left="567" w:hanging="556"/>
        <w:rPr>
          <w:rFonts w:ascii="Calibri" w:hAnsi="Calibri"/>
        </w:rPr>
      </w:pPr>
      <w:r>
        <w:rPr>
          <w:rFonts w:ascii="Calibri" w:hAnsi="Calibri"/>
        </w:rPr>
        <w:t>[</w:t>
      </w:r>
      <w:r w:rsidRPr="009731D5">
        <w:rPr>
          <w:rFonts w:ascii="Calibri" w:hAnsi="Calibri"/>
          <w:sz w:val="20"/>
          <w:szCs w:val="20"/>
        </w:rPr>
        <w:t xml:space="preserve">Name of </w:t>
      </w:r>
      <w:r>
        <w:rPr>
          <w:rFonts w:ascii="Calibri" w:hAnsi="Calibri"/>
          <w:sz w:val="20"/>
          <w:szCs w:val="20"/>
        </w:rPr>
        <w:t>organis</w:t>
      </w:r>
      <w:r w:rsidRPr="009731D5">
        <w:rPr>
          <w:rFonts w:ascii="Calibri" w:hAnsi="Calibri"/>
          <w:sz w:val="20"/>
          <w:szCs w:val="20"/>
        </w:rPr>
        <w:t>ation</w:t>
      </w:r>
      <w:r>
        <w:rPr>
          <w:rFonts w:ascii="Calibri" w:hAnsi="Calibri"/>
        </w:rPr>
        <w:t>]</w:t>
      </w:r>
      <w:r w:rsidRPr="00FD3B4F">
        <w:rPr>
          <w:rFonts w:ascii="Calibri" w:hAnsi="Calibri"/>
        </w:rPr>
        <w:t xml:space="preserve"> </w:t>
      </w:r>
      <w:r w:rsidR="003E0799" w:rsidRPr="00FD3B4F">
        <w:rPr>
          <w:rFonts w:ascii="Calibri" w:hAnsi="Calibri"/>
        </w:rPr>
        <w:t>will report any known or suspected terrorist links to the relevant national authority.</w:t>
      </w:r>
    </w:p>
    <w:p w:rsidR="00F36E43" w:rsidRPr="00F36E43" w:rsidRDefault="00F36E43" w:rsidP="00F36E43">
      <w:pPr>
        <w:pStyle w:val="ColorfulList-Accent11"/>
        <w:spacing w:after="120"/>
        <w:ind w:left="0"/>
        <w:rPr>
          <w:rFonts w:ascii="Calibri" w:hAnsi="Calibri"/>
        </w:rPr>
      </w:pPr>
    </w:p>
    <w:p w:rsidR="002960CC" w:rsidRDefault="00F36E43" w:rsidP="002960CC">
      <w:pPr>
        <w:pStyle w:val="ColorfulList-Accent11"/>
        <w:numPr>
          <w:ilvl w:val="0"/>
          <w:numId w:val="23"/>
        </w:numPr>
        <w:spacing w:after="120"/>
        <w:ind w:left="567" w:hanging="556"/>
        <w:rPr>
          <w:rFonts w:ascii="Calibri" w:hAnsi="Calibri"/>
        </w:rPr>
      </w:pPr>
      <w:r>
        <w:rPr>
          <w:rFonts w:ascii="Calibri" w:hAnsi="Calibri"/>
        </w:rPr>
        <w:lastRenderedPageBreak/>
        <w:t>[</w:t>
      </w:r>
      <w:r w:rsidRPr="009731D5">
        <w:rPr>
          <w:rFonts w:ascii="Calibri" w:hAnsi="Calibri"/>
          <w:sz w:val="20"/>
          <w:szCs w:val="20"/>
        </w:rPr>
        <w:t xml:space="preserve">Name of </w:t>
      </w:r>
      <w:r>
        <w:rPr>
          <w:rFonts w:ascii="Calibri" w:hAnsi="Calibri"/>
          <w:sz w:val="20"/>
          <w:szCs w:val="20"/>
        </w:rPr>
        <w:t>organis</w:t>
      </w:r>
      <w:r w:rsidRPr="009731D5">
        <w:rPr>
          <w:rFonts w:ascii="Calibri" w:hAnsi="Calibri"/>
          <w:sz w:val="20"/>
          <w:szCs w:val="20"/>
        </w:rPr>
        <w:t>ation</w:t>
      </w:r>
      <w:r>
        <w:rPr>
          <w:rFonts w:ascii="Calibri" w:hAnsi="Calibri"/>
        </w:rPr>
        <w:t>] will use its best endeavours to ensure that overseas recipients of [</w:t>
      </w:r>
      <w:r w:rsidRPr="009731D5">
        <w:rPr>
          <w:rFonts w:ascii="Calibri" w:hAnsi="Calibri"/>
          <w:sz w:val="20"/>
          <w:szCs w:val="20"/>
        </w:rPr>
        <w:t xml:space="preserve">Name of </w:t>
      </w:r>
      <w:r>
        <w:rPr>
          <w:rFonts w:ascii="Calibri" w:hAnsi="Calibri"/>
          <w:sz w:val="20"/>
          <w:szCs w:val="20"/>
        </w:rPr>
        <w:t>organis</w:t>
      </w:r>
      <w:r w:rsidRPr="009731D5">
        <w:rPr>
          <w:rFonts w:ascii="Calibri" w:hAnsi="Calibri"/>
          <w:sz w:val="20"/>
          <w:szCs w:val="20"/>
        </w:rPr>
        <w:t>ation</w:t>
      </w:r>
      <w:r>
        <w:rPr>
          <w:rFonts w:ascii="Calibri" w:hAnsi="Calibri"/>
        </w:rPr>
        <w:t>]’s funds will adopt policies and procedures that enable them to comply with relevant Australian anti-terrorist legislation.</w:t>
      </w:r>
    </w:p>
    <w:p w:rsidR="00B408BA" w:rsidRDefault="00B408BA" w:rsidP="00B408BA">
      <w:pPr>
        <w:pStyle w:val="ListParagraph"/>
      </w:pPr>
    </w:p>
    <w:p w:rsidR="00B408BA" w:rsidRDefault="00B408BA" w:rsidP="00B408BA">
      <w:pPr>
        <w:pStyle w:val="ColorfulList-Accent11"/>
        <w:spacing w:after="120"/>
        <w:rPr>
          <w:rFonts w:ascii="Calibri" w:hAnsi="Calibri"/>
        </w:rPr>
      </w:pPr>
    </w:p>
    <w:p w:rsidR="00B408BA" w:rsidRPr="00B408BA" w:rsidRDefault="00B408BA" w:rsidP="00B408BA">
      <w:pPr>
        <w:pStyle w:val="ColorfulList-Accent11"/>
        <w:spacing w:after="120"/>
        <w:rPr>
          <w:rFonts w:ascii="Calibri" w:hAnsi="Calibri"/>
        </w:rPr>
      </w:pPr>
    </w:p>
    <w:p w:rsidR="00BE6CC7" w:rsidRDefault="00BE6CC7" w:rsidP="002960CC">
      <w:pPr>
        <w:pStyle w:val="Heading2"/>
        <w:spacing w:before="60" w:after="120"/>
      </w:pPr>
      <w:r>
        <w:t>Authorisation</w:t>
      </w:r>
    </w:p>
    <w:p w:rsidR="00777E2D" w:rsidRPr="00777E2D" w:rsidRDefault="00777E2D" w:rsidP="00777E2D">
      <w:pPr>
        <w:rPr>
          <w:color w:val="808080"/>
          <w:sz w:val="22"/>
          <w:szCs w:val="22"/>
        </w:rPr>
      </w:pPr>
      <w:r w:rsidRPr="00777E2D">
        <w:rPr>
          <w:color w:val="808080"/>
          <w:sz w:val="22"/>
          <w:szCs w:val="22"/>
        </w:rPr>
        <w:t>&lt;Signature of Board Secretary&gt;</w:t>
      </w:r>
      <w:r w:rsidRPr="00777E2D">
        <w:rPr>
          <w:color w:val="808080"/>
          <w:sz w:val="22"/>
          <w:szCs w:val="22"/>
        </w:rPr>
        <w:br/>
        <w:t>&lt;Date of approval by the Board&gt;</w:t>
      </w:r>
      <w:r w:rsidRPr="00777E2D">
        <w:rPr>
          <w:color w:val="808080"/>
          <w:sz w:val="22"/>
          <w:szCs w:val="22"/>
        </w:rPr>
        <w:br/>
      </w:r>
    </w:p>
    <w:p w:rsidR="00BE6CC7" w:rsidRDefault="00BE6CC7" w:rsidP="002960CC"/>
    <w:p w:rsidR="00840DE1" w:rsidRDefault="00840DE1" w:rsidP="002960CC">
      <w:pPr>
        <w:sectPr w:rsidR="00840DE1" w:rsidSect="00DD65E9">
          <w:footerReference w:type="default" r:id="rId9"/>
          <w:footerReference w:type="first" r:id="rId10"/>
          <w:pgSz w:w="11900" w:h="16840"/>
          <w:pgMar w:top="851" w:right="1127" w:bottom="1440" w:left="1134" w:header="708" w:footer="177" w:gutter="0"/>
          <w:cols w:space="708"/>
          <w:titlePg/>
        </w:sectPr>
      </w:pPr>
    </w:p>
    <w:p w:rsidR="00DD65E9" w:rsidRPr="00BA04A5" w:rsidRDefault="00DD65E9" w:rsidP="00DD65E9">
      <w:pPr>
        <w:jc w:val="center"/>
        <w:rPr>
          <w:b/>
          <w:sz w:val="44"/>
          <w:lang w:val="en-AU"/>
        </w:rPr>
      </w:pPr>
      <w:r w:rsidRPr="00BA04A5">
        <w:rPr>
          <w:b/>
          <w:sz w:val="44"/>
          <w:lang w:val="en-AU"/>
        </w:rPr>
        <w:lastRenderedPageBreak/>
        <w:t>ANTI-TERRORISM PROCEDURES</w:t>
      </w:r>
    </w:p>
    <w:tbl>
      <w:tblPr>
        <w:tblStyle w:val="TableGrid"/>
        <w:tblW w:w="9487" w:type="dxa"/>
        <w:tblLook w:val="04A0" w:firstRow="1" w:lastRow="0" w:firstColumn="1" w:lastColumn="0" w:noHBand="0" w:noVBand="1"/>
      </w:tblPr>
      <w:tblGrid>
        <w:gridCol w:w="2232"/>
        <w:gridCol w:w="2720"/>
        <w:gridCol w:w="2570"/>
        <w:gridCol w:w="1965"/>
      </w:tblGrid>
      <w:tr w:rsidR="00DD65E9" w:rsidRPr="00B02CA3" w:rsidTr="0055228A">
        <w:trPr>
          <w:trHeight w:val="363"/>
        </w:trPr>
        <w:tc>
          <w:tcPr>
            <w:tcW w:w="2232" w:type="dxa"/>
            <w:shd w:val="pct10" w:color="auto" w:fill="auto"/>
          </w:tcPr>
          <w:p w:rsidR="00DD65E9" w:rsidRPr="00B02CA3" w:rsidRDefault="00DD65E9" w:rsidP="0055228A">
            <w:pPr>
              <w:spacing w:after="60"/>
              <w:jc w:val="right"/>
              <w:rPr>
                <w:sz w:val="22"/>
                <w:szCs w:val="22"/>
                <w:lang w:val="en-AU"/>
              </w:rPr>
            </w:pPr>
            <w:r>
              <w:rPr>
                <w:sz w:val="22"/>
                <w:szCs w:val="22"/>
                <w:lang w:val="en-AU"/>
              </w:rPr>
              <w:t>Procedure number:</w:t>
            </w:r>
          </w:p>
        </w:tc>
        <w:tc>
          <w:tcPr>
            <w:tcW w:w="2720" w:type="dxa"/>
            <w:tcBorders>
              <w:right w:val="single" w:sz="24" w:space="0" w:color="auto"/>
            </w:tcBorders>
          </w:tcPr>
          <w:p w:rsidR="00DD65E9" w:rsidRPr="00B02CA3" w:rsidRDefault="00DD65E9" w:rsidP="0055228A">
            <w:pPr>
              <w:spacing w:after="60"/>
              <w:rPr>
                <w:sz w:val="22"/>
                <w:szCs w:val="22"/>
                <w:lang w:val="en-AU"/>
              </w:rPr>
            </w:pPr>
          </w:p>
        </w:tc>
        <w:tc>
          <w:tcPr>
            <w:tcW w:w="2570" w:type="dxa"/>
            <w:tcBorders>
              <w:left w:val="single" w:sz="24" w:space="0" w:color="auto"/>
            </w:tcBorders>
            <w:shd w:val="pct10" w:color="auto" w:fill="auto"/>
          </w:tcPr>
          <w:p w:rsidR="00DD65E9" w:rsidRPr="00B02CA3" w:rsidRDefault="00DD65E9" w:rsidP="0055228A">
            <w:pPr>
              <w:spacing w:after="60"/>
              <w:jc w:val="right"/>
              <w:rPr>
                <w:sz w:val="22"/>
                <w:szCs w:val="22"/>
                <w:lang w:val="en-AU"/>
              </w:rPr>
            </w:pPr>
            <w:r>
              <w:rPr>
                <w:sz w:val="22"/>
                <w:szCs w:val="22"/>
                <w:lang w:val="en-AU"/>
              </w:rPr>
              <w:t>Version:</w:t>
            </w:r>
          </w:p>
        </w:tc>
        <w:tc>
          <w:tcPr>
            <w:tcW w:w="1965" w:type="dxa"/>
          </w:tcPr>
          <w:p w:rsidR="00DD65E9" w:rsidRPr="00B02CA3" w:rsidRDefault="00DD65E9" w:rsidP="0055228A">
            <w:pPr>
              <w:spacing w:after="60"/>
              <w:rPr>
                <w:sz w:val="22"/>
                <w:szCs w:val="22"/>
                <w:lang w:val="en-AU"/>
              </w:rPr>
            </w:pPr>
          </w:p>
        </w:tc>
      </w:tr>
      <w:tr w:rsidR="00DD65E9" w:rsidRPr="00B02CA3" w:rsidTr="0055228A">
        <w:trPr>
          <w:trHeight w:val="363"/>
        </w:trPr>
        <w:tc>
          <w:tcPr>
            <w:tcW w:w="2232" w:type="dxa"/>
            <w:shd w:val="pct10" w:color="auto" w:fill="auto"/>
          </w:tcPr>
          <w:p w:rsidR="00DD65E9" w:rsidRPr="00B02CA3" w:rsidRDefault="00DD65E9" w:rsidP="0055228A">
            <w:pPr>
              <w:spacing w:after="60"/>
              <w:jc w:val="right"/>
              <w:rPr>
                <w:sz w:val="22"/>
                <w:szCs w:val="22"/>
                <w:lang w:val="en-AU"/>
              </w:rPr>
            </w:pPr>
            <w:r w:rsidRPr="00B02CA3">
              <w:rPr>
                <w:sz w:val="22"/>
                <w:szCs w:val="22"/>
                <w:lang w:val="en-AU"/>
              </w:rPr>
              <w:t>Drafted by</w:t>
            </w:r>
            <w:r>
              <w:rPr>
                <w:sz w:val="22"/>
                <w:szCs w:val="22"/>
                <w:lang w:val="en-AU"/>
              </w:rPr>
              <w:t>:</w:t>
            </w:r>
          </w:p>
        </w:tc>
        <w:tc>
          <w:tcPr>
            <w:tcW w:w="2720" w:type="dxa"/>
            <w:tcBorders>
              <w:right w:val="single" w:sz="24" w:space="0" w:color="auto"/>
            </w:tcBorders>
          </w:tcPr>
          <w:p w:rsidR="00DD65E9" w:rsidRPr="00B02CA3" w:rsidRDefault="00DD65E9" w:rsidP="0055228A">
            <w:pPr>
              <w:spacing w:after="60"/>
              <w:rPr>
                <w:sz w:val="22"/>
                <w:szCs w:val="22"/>
                <w:lang w:val="en-AU"/>
              </w:rPr>
            </w:pPr>
          </w:p>
        </w:tc>
        <w:tc>
          <w:tcPr>
            <w:tcW w:w="2570" w:type="dxa"/>
            <w:tcBorders>
              <w:left w:val="single" w:sz="24" w:space="0" w:color="auto"/>
            </w:tcBorders>
            <w:shd w:val="pct10" w:color="auto" w:fill="auto"/>
          </w:tcPr>
          <w:p w:rsidR="00DD65E9" w:rsidRPr="00B02CA3" w:rsidRDefault="00DD65E9" w:rsidP="0055228A">
            <w:pPr>
              <w:spacing w:after="60"/>
              <w:jc w:val="right"/>
              <w:rPr>
                <w:sz w:val="22"/>
                <w:szCs w:val="22"/>
                <w:lang w:val="en-AU"/>
              </w:rPr>
            </w:pPr>
            <w:r w:rsidRPr="00B02CA3">
              <w:rPr>
                <w:sz w:val="22"/>
                <w:szCs w:val="22"/>
                <w:lang w:val="en-AU"/>
              </w:rPr>
              <w:t xml:space="preserve">Approved by </w:t>
            </w:r>
            <w:r>
              <w:rPr>
                <w:sz w:val="22"/>
                <w:szCs w:val="22"/>
                <w:lang w:val="en-AU"/>
              </w:rPr>
              <w:t>CEO</w:t>
            </w:r>
            <w:r w:rsidRPr="00B02CA3">
              <w:rPr>
                <w:sz w:val="22"/>
                <w:szCs w:val="22"/>
                <w:lang w:val="en-AU"/>
              </w:rPr>
              <w:t xml:space="preserve"> on</w:t>
            </w:r>
            <w:r>
              <w:rPr>
                <w:sz w:val="22"/>
                <w:szCs w:val="22"/>
                <w:lang w:val="en-AU"/>
              </w:rPr>
              <w:t>:</w:t>
            </w:r>
          </w:p>
        </w:tc>
        <w:tc>
          <w:tcPr>
            <w:tcW w:w="1965" w:type="dxa"/>
          </w:tcPr>
          <w:p w:rsidR="00DD65E9" w:rsidRPr="00B02CA3" w:rsidRDefault="00DD65E9" w:rsidP="0055228A">
            <w:pPr>
              <w:spacing w:after="60"/>
              <w:rPr>
                <w:sz w:val="22"/>
                <w:szCs w:val="22"/>
                <w:lang w:val="en-AU"/>
              </w:rPr>
            </w:pPr>
          </w:p>
        </w:tc>
      </w:tr>
      <w:tr w:rsidR="00DD65E9" w:rsidRPr="00B02CA3" w:rsidTr="0055228A">
        <w:trPr>
          <w:trHeight w:val="431"/>
        </w:trPr>
        <w:tc>
          <w:tcPr>
            <w:tcW w:w="2232" w:type="dxa"/>
            <w:shd w:val="pct10" w:color="auto" w:fill="auto"/>
          </w:tcPr>
          <w:p w:rsidR="00DD65E9" w:rsidRPr="00B02CA3" w:rsidRDefault="00DD65E9" w:rsidP="0055228A">
            <w:pPr>
              <w:jc w:val="right"/>
              <w:rPr>
                <w:sz w:val="22"/>
                <w:szCs w:val="22"/>
                <w:lang w:val="en-AU"/>
              </w:rPr>
            </w:pPr>
            <w:r w:rsidRPr="00B02CA3">
              <w:rPr>
                <w:sz w:val="22"/>
                <w:szCs w:val="22"/>
                <w:lang w:val="en-AU"/>
              </w:rPr>
              <w:t>Responsible person</w:t>
            </w:r>
            <w:r>
              <w:rPr>
                <w:sz w:val="22"/>
                <w:szCs w:val="22"/>
                <w:lang w:val="en-AU"/>
              </w:rPr>
              <w:t>:</w:t>
            </w:r>
          </w:p>
        </w:tc>
        <w:tc>
          <w:tcPr>
            <w:tcW w:w="2720" w:type="dxa"/>
            <w:tcBorders>
              <w:right w:val="single" w:sz="24" w:space="0" w:color="auto"/>
            </w:tcBorders>
          </w:tcPr>
          <w:p w:rsidR="00DD65E9" w:rsidRPr="00B02CA3" w:rsidRDefault="00DD65E9" w:rsidP="0055228A">
            <w:pPr>
              <w:rPr>
                <w:sz w:val="22"/>
                <w:szCs w:val="22"/>
                <w:lang w:val="en-AU"/>
              </w:rPr>
            </w:pPr>
          </w:p>
        </w:tc>
        <w:tc>
          <w:tcPr>
            <w:tcW w:w="2570" w:type="dxa"/>
            <w:tcBorders>
              <w:left w:val="single" w:sz="24" w:space="0" w:color="auto"/>
            </w:tcBorders>
            <w:shd w:val="pct10" w:color="auto" w:fill="auto"/>
          </w:tcPr>
          <w:p w:rsidR="00DD65E9" w:rsidRPr="00B02CA3" w:rsidRDefault="00DD65E9" w:rsidP="0055228A">
            <w:pPr>
              <w:jc w:val="right"/>
              <w:rPr>
                <w:sz w:val="22"/>
                <w:szCs w:val="22"/>
                <w:lang w:val="en-AU"/>
              </w:rPr>
            </w:pPr>
            <w:r w:rsidRPr="00B02CA3">
              <w:rPr>
                <w:sz w:val="22"/>
                <w:szCs w:val="22"/>
                <w:lang w:val="en-AU"/>
              </w:rPr>
              <w:t>Scheduled review date</w:t>
            </w:r>
          </w:p>
        </w:tc>
        <w:tc>
          <w:tcPr>
            <w:tcW w:w="1965" w:type="dxa"/>
          </w:tcPr>
          <w:p w:rsidR="00DD65E9" w:rsidRPr="00B02CA3" w:rsidRDefault="00DD65E9" w:rsidP="0055228A">
            <w:pPr>
              <w:rPr>
                <w:sz w:val="22"/>
                <w:szCs w:val="22"/>
                <w:lang w:val="en-AU"/>
              </w:rPr>
            </w:pPr>
          </w:p>
        </w:tc>
      </w:tr>
    </w:tbl>
    <w:p w:rsidR="00DD65E9" w:rsidRPr="00DD65E9" w:rsidRDefault="00DD65E9" w:rsidP="00DD65E9">
      <w:pPr>
        <w:rPr>
          <w:lang w:val="en-AU" w:eastAsia="x-none"/>
        </w:rPr>
      </w:pPr>
    </w:p>
    <w:p w:rsidR="00BE6CC7" w:rsidRDefault="00BE6CC7" w:rsidP="002960CC">
      <w:pPr>
        <w:pStyle w:val="Heading2"/>
        <w:spacing w:before="60" w:after="120"/>
      </w:pPr>
      <w:r>
        <w:t>Responsibilities</w:t>
      </w:r>
    </w:p>
    <w:p w:rsidR="00FD3B4F" w:rsidRPr="00F72BB1" w:rsidRDefault="00FD3B4F" w:rsidP="00FD3B4F">
      <w:pPr>
        <w:ind w:right="425"/>
        <w:jc w:val="both"/>
        <w:rPr>
          <w:rFonts w:cs="Arial"/>
        </w:rPr>
      </w:pPr>
      <w:r w:rsidRPr="00F72BB1">
        <w:rPr>
          <w:rFonts w:cs="Arial"/>
        </w:rPr>
        <w:t xml:space="preserve">The </w:t>
      </w:r>
      <w:r w:rsidR="00E00D3C">
        <w:t>[</w:t>
      </w:r>
      <w:r w:rsidR="00E00D3C">
        <w:rPr>
          <w:sz w:val="20"/>
          <w:szCs w:val="20"/>
        </w:rPr>
        <w:t>n</w:t>
      </w:r>
      <w:r w:rsidR="00E00D3C" w:rsidRPr="009731D5">
        <w:rPr>
          <w:sz w:val="20"/>
          <w:szCs w:val="20"/>
        </w:rPr>
        <w:t xml:space="preserve">ame of </w:t>
      </w:r>
      <w:r w:rsidR="00E00D3C">
        <w:rPr>
          <w:sz w:val="20"/>
          <w:szCs w:val="20"/>
        </w:rPr>
        <w:t>organis</w:t>
      </w:r>
      <w:r w:rsidR="00E00D3C" w:rsidRPr="009731D5">
        <w:rPr>
          <w:sz w:val="20"/>
          <w:szCs w:val="20"/>
        </w:rPr>
        <w:t>ation</w:t>
      </w:r>
      <w:r w:rsidR="00E00D3C">
        <w:t>]</w:t>
      </w:r>
      <w:r w:rsidR="00E00D3C" w:rsidRPr="00FD3B4F">
        <w:t xml:space="preserve"> </w:t>
      </w:r>
      <w:r w:rsidRPr="00F72BB1">
        <w:rPr>
          <w:rFonts w:cs="Arial"/>
        </w:rPr>
        <w:t xml:space="preserve">Board is committed to </w:t>
      </w:r>
      <w:r>
        <w:rPr>
          <w:rFonts w:cs="Arial"/>
        </w:rPr>
        <w:t xml:space="preserve">compliance with Australian anti-terrorist legislation to avoid </w:t>
      </w:r>
      <w:r w:rsidRPr="00FD3B4F">
        <w:t>dealing with individuals and organisations associated with terrorism.</w:t>
      </w:r>
    </w:p>
    <w:p w:rsidR="00B272F8" w:rsidRDefault="00E00D3C" w:rsidP="00F6394A">
      <w:pPr>
        <w:ind w:left="11" w:hanging="11"/>
        <w:rPr>
          <w:sz w:val="22"/>
          <w:szCs w:val="22"/>
        </w:rPr>
      </w:pPr>
      <w:r>
        <w:rPr>
          <w:rFonts w:cs="Arial"/>
        </w:rPr>
        <w:t xml:space="preserve">The </w:t>
      </w:r>
      <w:r w:rsidR="00540285">
        <w:rPr>
          <w:rFonts w:cs="Arial"/>
        </w:rPr>
        <w:t>[</w:t>
      </w:r>
      <w:r w:rsidRPr="00540285">
        <w:rPr>
          <w:rFonts w:cs="Arial"/>
          <w:sz w:val="20"/>
          <w:szCs w:val="20"/>
        </w:rPr>
        <w:t>CEO</w:t>
      </w:r>
      <w:r w:rsidR="00540285">
        <w:rPr>
          <w:rFonts w:cs="Arial"/>
        </w:rPr>
        <w:t>]</w:t>
      </w:r>
      <w:r w:rsidR="00FD3B4F" w:rsidRPr="00F72BB1">
        <w:rPr>
          <w:rFonts w:cs="Arial"/>
        </w:rPr>
        <w:t xml:space="preserve"> will be responsible for </w:t>
      </w:r>
      <w:r>
        <w:rPr>
          <w:rFonts w:cs="Arial"/>
        </w:rPr>
        <w:t xml:space="preserve">ensuring that employees of </w:t>
      </w:r>
      <w:r>
        <w:t>[</w:t>
      </w:r>
      <w:r>
        <w:rPr>
          <w:sz w:val="20"/>
          <w:szCs w:val="20"/>
        </w:rPr>
        <w:t>n</w:t>
      </w:r>
      <w:r w:rsidRPr="009731D5">
        <w:rPr>
          <w:sz w:val="20"/>
          <w:szCs w:val="20"/>
        </w:rPr>
        <w:t xml:space="preserve">ame of </w:t>
      </w:r>
      <w:r>
        <w:rPr>
          <w:sz w:val="20"/>
          <w:szCs w:val="20"/>
        </w:rPr>
        <w:t>organis</w:t>
      </w:r>
      <w:r w:rsidRPr="009731D5">
        <w:rPr>
          <w:sz w:val="20"/>
          <w:szCs w:val="20"/>
        </w:rPr>
        <w:t>ation</w:t>
      </w:r>
      <w:r>
        <w:t>]</w:t>
      </w:r>
      <w:r w:rsidRPr="00FD3B4F">
        <w:t xml:space="preserve"> </w:t>
      </w:r>
      <w:r w:rsidR="00F6394A">
        <w:rPr>
          <w:rFonts w:cs="Arial"/>
        </w:rPr>
        <w:t>carry out the following procedures at least annually to min</w:t>
      </w:r>
      <w:r w:rsidR="00540285">
        <w:rPr>
          <w:rFonts w:cs="Arial"/>
        </w:rPr>
        <w:t>imis</w:t>
      </w:r>
      <w:r w:rsidR="00F6394A">
        <w:rPr>
          <w:rFonts w:cs="Arial"/>
        </w:rPr>
        <w:t>e the risk of dealing wit</w:t>
      </w:r>
      <w:r>
        <w:rPr>
          <w:rFonts w:cs="Arial"/>
        </w:rPr>
        <w:t>h</w:t>
      </w:r>
      <w:r w:rsidR="00F6394A">
        <w:rPr>
          <w:rFonts w:cs="Arial"/>
        </w:rPr>
        <w:t xml:space="preserve"> terrorist organisations. </w:t>
      </w:r>
    </w:p>
    <w:p w:rsidR="004F2DE8" w:rsidRPr="00B272F8" w:rsidRDefault="004F2DE8" w:rsidP="002960CC">
      <w:pPr>
        <w:ind w:left="11" w:hanging="11"/>
        <w:rPr>
          <w:sz w:val="22"/>
          <w:szCs w:val="22"/>
        </w:rPr>
      </w:pPr>
    </w:p>
    <w:p w:rsidR="00BE6CC7" w:rsidRDefault="00BE6CC7" w:rsidP="002960CC">
      <w:pPr>
        <w:pStyle w:val="Heading2"/>
        <w:spacing w:before="60" w:after="120"/>
      </w:pPr>
      <w:r w:rsidRPr="0054260C">
        <w:t>P</w:t>
      </w:r>
      <w:r w:rsidR="00840DE1" w:rsidRPr="0054260C">
        <w:t>rocesses</w:t>
      </w:r>
    </w:p>
    <w:p w:rsidR="0054260C" w:rsidRPr="0054260C" w:rsidRDefault="005460B0" w:rsidP="0054260C">
      <w:pPr>
        <w:pStyle w:val="ColorfulList-Accent11"/>
        <w:numPr>
          <w:ilvl w:val="0"/>
          <w:numId w:val="24"/>
        </w:numPr>
        <w:spacing w:after="120"/>
        <w:ind w:left="360"/>
      </w:pPr>
      <w:r w:rsidRPr="0054260C">
        <w:rPr>
          <w:rFonts w:ascii="Calibri" w:hAnsi="Calibri"/>
        </w:rPr>
        <w:t>[</w:t>
      </w:r>
      <w:r w:rsidRPr="0054260C">
        <w:rPr>
          <w:rFonts w:ascii="Calibri" w:hAnsi="Calibri"/>
          <w:sz w:val="20"/>
          <w:szCs w:val="20"/>
        </w:rPr>
        <w:t>Name of organisation</w:t>
      </w:r>
      <w:r w:rsidRPr="0054260C">
        <w:rPr>
          <w:rFonts w:ascii="Calibri" w:hAnsi="Calibri"/>
        </w:rPr>
        <w:t xml:space="preserve">] </w:t>
      </w:r>
      <w:r w:rsidR="003E0799" w:rsidRPr="0054260C">
        <w:rPr>
          <w:rFonts w:ascii="Calibri" w:hAnsi="Calibri"/>
        </w:rPr>
        <w:t xml:space="preserve">staff members </w:t>
      </w:r>
      <w:r w:rsidR="00C64BF6" w:rsidRPr="0054260C">
        <w:rPr>
          <w:rFonts w:ascii="Calibri" w:hAnsi="Calibri"/>
        </w:rPr>
        <w:t xml:space="preserve">must </w:t>
      </w:r>
      <w:r w:rsidR="003E0799" w:rsidRPr="0054260C">
        <w:rPr>
          <w:rFonts w:ascii="Calibri" w:hAnsi="Calibri"/>
        </w:rPr>
        <w:t xml:space="preserve">know </w:t>
      </w:r>
      <w:r w:rsidR="00C64BF6" w:rsidRPr="0054260C">
        <w:rPr>
          <w:rFonts w:ascii="Calibri" w:hAnsi="Calibri"/>
        </w:rPr>
        <w:t xml:space="preserve">the identity, credentials and good standing of their </w:t>
      </w:r>
      <w:r w:rsidR="0054260C" w:rsidRPr="0054260C">
        <w:rPr>
          <w:rFonts w:ascii="Calibri" w:hAnsi="Calibri"/>
        </w:rPr>
        <w:t>partner</w:t>
      </w:r>
      <w:r w:rsidR="00540285">
        <w:rPr>
          <w:rFonts w:ascii="Calibri" w:hAnsi="Calibri"/>
        </w:rPr>
        <w:t>s</w:t>
      </w:r>
      <w:r w:rsidR="0054260C" w:rsidRPr="0054260C">
        <w:rPr>
          <w:rFonts w:ascii="Calibri" w:hAnsi="Calibri"/>
        </w:rPr>
        <w:t xml:space="preserve"> and recipient organis</w:t>
      </w:r>
      <w:r w:rsidR="003E0799" w:rsidRPr="0054260C">
        <w:rPr>
          <w:rFonts w:ascii="Calibri" w:hAnsi="Calibri"/>
        </w:rPr>
        <w:t xml:space="preserve">ations (i.e. what they do, where they operate, who are their key decision makers and staff). </w:t>
      </w:r>
    </w:p>
    <w:p w:rsidR="0054260C" w:rsidRPr="0054260C" w:rsidRDefault="0054260C" w:rsidP="0054260C">
      <w:pPr>
        <w:pStyle w:val="ColorfulList-Accent11"/>
        <w:spacing w:after="120"/>
        <w:ind w:left="360"/>
      </w:pPr>
    </w:p>
    <w:p w:rsidR="00F36E43" w:rsidRPr="00F36E43" w:rsidRDefault="0054260C" w:rsidP="00F36E43">
      <w:pPr>
        <w:pStyle w:val="ColorfulList-Accent11"/>
        <w:numPr>
          <w:ilvl w:val="0"/>
          <w:numId w:val="24"/>
        </w:numPr>
        <w:spacing w:after="120"/>
        <w:ind w:left="360"/>
      </w:pPr>
      <w:r w:rsidRPr="004D404E">
        <w:rPr>
          <w:rFonts w:ascii="Calibri" w:hAnsi="Calibri" w:cs="Calibri"/>
        </w:rPr>
        <w:t xml:space="preserve">Care will be taken to only transmit funds from </w:t>
      </w:r>
      <w:r>
        <w:rPr>
          <w:rFonts w:ascii="Calibri" w:hAnsi="Calibri"/>
        </w:rPr>
        <w:t>[</w:t>
      </w:r>
      <w:r>
        <w:rPr>
          <w:rFonts w:ascii="Calibri" w:hAnsi="Calibri"/>
          <w:sz w:val="20"/>
          <w:szCs w:val="20"/>
        </w:rPr>
        <w:t>n</w:t>
      </w:r>
      <w:r w:rsidRPr="009731D5">
        <w:rPr>
          <w:rFonts w:ascii="Calibri" w:hAnsi="Calibri"/>
          <w:sz w:val="20"/>
          <w:szCs w:val="20"/>
        </w:rPr>
        <w:t xml:space="preserve">ame of </w:t>
      </w:r>
      <w:r>
        <w:rPr>
          <w:rFonts w:ascii="Calibri" w:hAnsi="Calibri"/>
          <w:sz w:val="20"/>
          <w:szCs w:val="20"/>
        </w:rPr>
        <w:t>organis</w:t>
      </w:r>
      <w:r w:rsidRPr="009731D5">
        <w:rPr>
          <w:rFonts w:ascii="Calibri" w:hAnsi="Calibri"/>
          <w:sz w:val="20"/>
          <w:szCs w:val="20"/>
        </w:rPr>
        <w:t>ation</w:t>
      </w:r>
      <w:r>
        <w:rPr>
          <w:rFonts w:ascii="Calibri" w:hAnsi="Calibri"/>
        </w:rPr>
        <w:t>] using reputable banks and other financial institutions for this purpose.</w:t>
      </w:r>
    </w:p>
    <w:p w:rsidR="00F36E43" w:rsidRDefault="00F36E43" w:rsidP="00F36E43">
      <w:pPr>
        <w:pStyle w:val="ColorfulList-Accent11"/>
        <w:spacing w:after="120"/>
        <w:ind w:left="0"/>
      </w:pPr>
    </w:p>
    <w:p w:rsidR="00B537F6" w:rsidRDefault="00B537F6" w:rsidP="00B537F6">
      <w:pPr>
        <w:pStyle w:val="ColorfulList-Accent11"/>
        <w:numPr>
          <w:ilvl w:val="0"/>
          <w:numId w:val="24"/>
        </w:numPr>
        <w:spacing w:after="120"/>
        <w:ind w:left="426" w:hanging="426"/>
        <w:rPr>
          <w:rFonts w:ascii="Calibri" w:hAnsi="Calibri"/>
        </w:rPr>
      </w:pPr>
      <w:r w:rsidRPr="007415FC">
        <w:rPr>
          <w:rFonts w:ascii="Calibri" w:hAnsi="Calibri" w:cs="Calibri"/>
        </w:rPr>
        <w:t xml:space="preserve">To the extent possible, all </w:t>
      </w:r>
      <w:r>
        <w:rPr>
          <w:rFonts w:ascii="Calibri" w:hAnsi="Calibri"/>
        </w:rPr>
        <w:t>[</w:t>
      </w:r>
      <w:r>
        <w:rPr>
          <w:rFonts w:ascii="Calibri" w:hAnsi="Calibri"/>
          <w:sz w:val="20"/>
          <w:szCs w:val="20"/>
        </w:rPr>
        <w:t>n</w:t>
      </w:r>
      <w:r w:rsidRPr="009731D5">
        <w:rPr>
          <w:rFonts w:ascii="Calibri" w:hAnsi="Calibri"/>
          <w:sz w:val="20"/>
          <w:szCs w:val="20"/>
        </w:rPr>
        <w:t xml:space="preserve">ame of </w:t>
      </w:r>
      <w:r>
        <w:rPr>
          <w:rFonts w:ascii="Calibri" w:hAnsi="Calibri"/>
          <w:sz w:val="20"/>
          <w:szCs w:val="20"/>
        </w:rPr>
        <w:t>organis</w:t>
      </w:r>
      <w:r w:rsidRPr="009731D5">
        <w:rPr>
          <w:rFonts w:ascii="Calibri" w:hAnsi="Calibri"/>
          <w:sz w:val="20"/>
          <w:szCs w:val="20"/>
        </w:rPr>
        <w:t>ation</w:t>
      </w:r>
      <w:r>
        <w:rPr>
          <w:rFonts w:ascii="Calibri" w:hAnsi="Calibri"/>
        </w:rPr>
        <w:t xml:space="preserve">]’s </w:t>
      </w:r>
      <w:r w:rsidRPr="007415FC">
        <w:rPr>
          <w:rFonts w:ascii="Calibri" w:hAnsi="Calibri" w:cs="Calibri"/>
        </w:rPr>
        <w:t>ministry</w:t>
      </w:r>
      <w:r w:rsidR="007C3743">
        <w:rPr>
          <w:rFonts w:ascii="Calibri" w:hAnsi="Calibri" w:cs="Calibri"/>
        </w:rPr>
        <w:t xml:space="preserve"> and project</w:t>
      </w:r>
      <w:r w:rsidRPr="007415FC">
        <w:rPr>
          <w:rFonts w:ascii="Calibri" w:hAnsi="Calibri" w:cs="Calibri"/>
        </w:rPr>
        <w:t xml:space="preserve"> partners will be made aware of </w:t>
      </w:r>
      <w:r>
        <w:rPr>
          <w:rFonts w:ascii="Calibri" w:hAnsi="Calibri"/>
        </w:rPr>
        <w:t>[</w:t>
      </w:r>
      <w:r>
        <w:rPr>
          <w:rFonts w:ascii="Calibri" w:hAnsi="Calibri"/>
          <w:sz w:val="20"/>
          <w:szCs w:val="20"/>
        </w:rPr>
        <w:t>n</w:t>
      </w:r>
      <w:r w:rsidRPr="009731D5">
        <w:rPr>
          <w:rFonts w:ascii="Calibri" w:hAnsi="Calibri"/>
          <w:sz w:val="20"/>
          <w:szCs w:val="20"/>
        </w:rPr>
        <w:t xml:space="preserve">ame of </w:t>
      </w:r>
      <w:r>
        <w:rPr>
          <w:rFonts w:ascii="Calibri" w:hAnsi="Calibri"/>
          <w:sz w:val="20"/>
          <w:szCs w:val="20"/>
        </w:rPr>
        <w:t>organis</w:t>
      </w:r>
      <w:r w:rsidRPr="009731D5">
        <w:rPr>
          <w:rFonts w:ascii="Calibri" w:hAnsi="Calibri"/>
          <w:sz w:val="20"/>
          <w:szCs w:val="20"/>
        </w:rPr>
        <w:t>ation</w:t>
      </w:r>
      <w:r>
        <w:rPr>
          <w:rFonts w:ascii="Calibri" w:hAnsi="Calibri"/>
        </w:rPr>
        <w:t>]</w:t>
      </w:r>
      <w:r w:rsidR="00025EF5">
        <w:rPr>
          <w:rFonts w:ascii="Calibri" w:hAnsi="Calibri"/>
        </w:rPr>
        <w:t>’s</w:t>
      </w:r>
      <w:r>
        <w:rPr>
          <w:rFonts w:ascii="Calibri" w:hAnsi="Calibri"/>
        </w:rPr>
        <w:t xml:space="preserve"> obligations under Australian law and undertake to adopt similar measures in respect of funds from Australian sources. </w:t>
      </w:r>
    </w:p>
    <w:p w:rsidR="00B537F6" w:rsidRDefault="00B537F6" w:rsidP="00B537F6">
      <w:pPr>
        <w:pStyle w:val="ColorfulList-Accent11"/>
        <w:spacing w:after="120"/>
        <w:ind w:left="0"/>
        <w:rPr>
          <w:rFonts w:ascii="Calibri" w:hAnsi="Calibri"/>
        </w:rPr>
      </w:pPr>
    </w:p>
    <w:p w:rsidR="00B537F6" w:rsidRPr="00D37CD3" w:rsidRDefault="00B537F6" w:rsidP="00B537F6">
      <w:pPr>
        <w:pStyle w:val="ColorfulList-Accent11"/>
        <w:spacing w:after="120"/>
        <w:ind w:left="426"/>
        <w:rPr>
          <w:sz w:val="22"/>
          <w:szCs w:val="22"/>
        </w:rPr>
      </w:pPr>
      <w:r>
        <w:rPr>
          <w:rFonts w:ascii="Calibri" w:hAnsi="Calibri"/>
        </w:rPr>
        <w:t>[</w:t>
      </w:r>
      <w:r w:rsidRPr="009731D5">
        <w:rPr>
          <w:rFonts w:ascii="Calibri" w:hAnsi="Calibri"/>
          <w:sz w:val="20"/>
          <w:szCs w:val="20"/>
        </w:rPr>
        <w:t xml:space="preserve">Name of </w:t>
      </w:r>
      <w:r>
        <w:rPr>
          <w:rFonts w:ascii="Calibri" w:hAnsi="Calibri"/>
          <w:sz w:val="20"/>
          <w:szCs w:val="20"/>
        </w:rPr>
        <w:t>organis</w:t>
      </w:r>
      <w:r w:rsidRPr="009731D5">
        <w:rPr>
          <w:rFonts w:ascii="Calibri" w:hAnsi="Calibri"/>
          <w:sz w:val="20"/>
          <w:szCs w:val="20"/>
        </w:rPr>
        <w:t>ation</w:t>
      </w:r>
      <w:r>
        <w:rPr>
          <w:rFonts w:ascii="Calibri" w:hAnsi="Calibri"/>
        </w:rPr>
        <w:t xml:space="preserve">] will immediately withdraw all support, including provision of resources, if it has reason to believe that a ministry or project partner has breached the requirements of this policy. </w:t>
      </w:r>
    </w:p>
    <w:p w:rsidR="00F36E43" w:rsidRPr="008D510A" w:rsidRDefault="00F36E43" w:rsidP="00B537F6">
      <w:pPr>
        <w:numPr>
          <w:ilvl w:val="0"/>
          <w:numId w:val="24"/>
        </w:numPr>
        <w:spacing w:before="0"/>
        <w:ind w:left="360"/>
        <w:contextualSpacing/>
      </w:pPr>
      <w:r>
        <w:t>A</w:t>
      </w:r>
      <w:r w:rsidR="00B408BA">
        <w:t>s far as practicable, a</w:t>
      </w:r>
      <w:r w:rsidRPr="008D510A">
        <w:t>ny funding ag</w:t>
      </w:r>
      <w:r>
        <w:t>reement will include wording that requires the recipient organis</w:t>
      </w:r>
      <w:r w:rsidRPr="008D510A">
        <w:t>ation to adopt policies and procedures consistent with Australian Government require</w:t>
      </w:r>
      <w:r w:rsidR="00F9501D">
        <w:t>ments. DFAT s</w:t>
      </w:r>
      <w:r w:rsidRPr="008D510A">
        <w:t>uggested wording is:</w:t>
      </w:r>
    </w:p>
    <w:p w:rsidR="00F36E43" w:rsidRPr="008D510A" w:rsidRDefault="00F36E43" w:rsidP="00B53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rPr>
          <w:rFonts w:cs="Garamond"/>
          <w:color w:val="000000"/>
        </w:rPr>
      </w:pPr>
      <w:r w:rsidRPr="008D510A">
        <w:rPr>
          <w:rFonts w:cs="Garamond"/>
          <w:color w:val="000000"/>
        </w:rPr>
        <w:t xml:space="preserve">“The </w:t>
      </w:r>
      <w:r w:rsidRPr="008D510A">
        <w:rPr>
          <w:rFonts w:cs="Times"/>
          <w:color w:val="000000"/>
        </w:rPr>
        <w:t xml:space="preserve">Organisation </w:t>
      </w:r>
      <w:r w:rsidRPr="008D510A">
        <w:rPr>
          <w:rFonts w:cs="Garamond"/>
          <w:color w:val="000000"/>
        </w:rPr>
        <w:t>acknowledges that the Australian Government has adopted a policy and laws consistent with relevant international counter-terrorism Treaties and UN Security Council Resolution 1373 (2001) of not providing direct or indirect support or resources to organisations and individuals associated with terrorism.</w:t>
      </w:r>
    </w:p>
    <w:p w:rsidR="00F36E43" w:rsidRPr="008D510A" w:rsidRDefault="00F36E43" w:rsidP="00B537F6">
      <w:pPr>
        <w:ind w:left="851"/>
        <w:rPr>
          <w:rFonts w:cs="Garamond"/>
          <w:color w:val="000000"/>
        </w:rPr>
      </w:pPr>
      <w:r w:rsidRPr="008D510A">
        <w:rPr>
          <w:rFonts w:cs="Garamond"/>
          <w:color w:val="000000"/>
        </w:rPr>
        <w:t xml:space="preserve">The </w:t>
      </w:r>
      <w:r w:rsidRPr="008D510A">
        <w:rPr>
          <w:rFonts w:cs="Times"/>
          <w:color w:val="000000"/>
        </w:rPr>
        <w:t xml:space="preserve">Organisation </w:t>
      </w:r>
      <w:r w:rsidRPr="008D510A">
        <w:rPr>
          <w:rFonts w:cs="Garamond"/>
          <w:color w:val="000000"/>
        </w:rPr>
        <w:t xml:space="preserve">must use its best endeavours to ensure that funding provided under this Agreement is expended in a manner consistent with the UN Security Council Resolution and related Australian laws. If, during the course of this Agreement, the </w:t>
      </w:r>
      <w:r w:rsidRPr="008D510A">
        <w:rPr>
          <w:rFonts w:cs="Times"/>
          <w:color w:val="000000"/>
        </w:rPr>
        <w:t xml:space="preserve">Organisation </w:t>
      </w:r>
      <w:r w:rsidRPr="008D510A">
        <w:rPr>
          <w:rFonts w:cs="Garamond"/>
          <w:color w:val="000000"/>
        </w:rPr>
        <w:t xml:space="preserve">discovers any link whatsoever with any organisation or individual associated with terrorism it must inform </w:t>
      </w:r>
      <w:r>
        <w:rPr>
          <w:rFonts w:cs="Garamond"/>
          <w:color w:val="000000"/>
        </w:rPr>
        <w:t xml:space="preserve">the Australian Federal Police and/or </w:t>
      </w:r>
      <w:r w:rsidRPr="008D510A">
        <w:rPr>
          <w:rFonts w:cs="Garamond"/>
          <w:color w:val="000000"/>
        </w:rPr>
        <w:t xml:space="preserve">AusAID immediately.” </w:t>
      </w:r>
    </w:p>
    <w:p w:rsidR="00F36E43" w:rsidRDefault="00F36E43" w:rsidP="00F36E43">
      <w:pPr>
        <w:ind w:left="360"/>
        <w:rPr>
          <w:rFonts w:cs="Garamond"/>
          <w:color w:val="000000"/>
        </w:rPr>
      </w:pPr>
      <w:r w:rsidRPr="008D510A">
        <w:rPr>
          <w:rFonts w:cs="Garamond"/>
          <w:color w:val="000000"/>
        </w:rPr>
        <w:t>Source: “Guidelines for Strengthening Counter-Terrorism Measures I</w:t>
      </w:r>
      <w:r>
        <w:rPr>
          <w:rFonts w:cs="Garamond"/>
          <w:color w:val="000000"/>
        </w:rPr>
        <w:t xml:space="preserve">n the Australian Aid Program” </w:t>
      </w:r>
      <w:r w:rsidRPr="008D510A">
        <w:rPr>
          <w:rFonts w:cs="Garamond"/>
          <w:color w:val="000000"/>
        </w:rPr>
        <w:t>(AusAID, September 2004)</w:t>
      </w:r>
    </w:p>
    <w:p w:rsidR="0054260C" w:rsidRDefault="0054260C" w:rsidP="007415FC">
      <w:pPr>
        <w:pStyle w:val="ColorfulList-Accent11"/>
        <w:spacing w:after="120"/>
        <w:ind w:left="0"/>
        <w:rPr>
          <w:highlight w:val="yellow"/>
        </w:rPr>
      </w:pPr>
    </w:p>
    <w:p w:rsidR="00025EF5" w:rsidRPr="0054260C" w:rsidRDefault="00025EF5" w:rsidP="007415FC">
      <w:pPr>
        <w:pStyle w:val="ColorfulList-Accent11"/>
        <w:spacing w:after="120"/>
        <w:ind w:left="0"/>
        <w:rPr>
          <w:highlight w:val="yellow"/>
        </w:rPr>
      </w:pPr>
    </w:p>
    <w:p w:rsidR="00F36E43" w:rsidRPr="00B408BA" w:rsidRDefault="00B408BA" w:rsidP="00B408BA">
      <w:pPr>
        <w:pStyle w:val="ColorfulList-Accent11"/>
        <w:numPr>
          <w:ilvl w:val="0"/>
          <w:numId w:val="24"/>
        </w:numPr>
        <w:spacing w:after="120"/>
        <w:ind w:left="360"/>
        <w:rPr>
          <w:rFonts w:ascii="Calibri" w:hAnsi="Calibri"/>
        </w:rPr>
      </w:pPr>
      <w:r>
        <w:rPr>
          <w:rFonts w:ascii="Calibri" w:hAnsi="Calibri"/>
        </w:rPr>
        <w:lastRenderedPageBreak/>
        <w:t>F</w:t>
      </w:r>
      <w:r w:rsidR="00F36E43" w:rsidRPr="00B408BA">
        <w:rPr>
          <w:rFonts w:ascii="Calibri" w:hAnsi="Calibri"/>
        </w:rPr>
        <w:t>unding recipients will be required to provide detailed accounting report(s) showing how funds have been spent, at least annually. The accounting report(s) should be subject to review or audit by a member of the local public accounting peak body, e.g. Chartered Accountants or Certified Public Accountants. The review should confirm truth and accuracy of the accounting report.</w:t>
      </w:r>
    </w:p>
    <w:p w:rsidR="00F36E43" w:rsidRDefault="00F36E43" w:rsidP="00F36E43">
      <w:pPr>
        <w:pStyle w:val="ColorfulList-Accent11"/>
        <w:spacing w:after="120"/>
        <w:ind w:left="360"/>
        <w:rPr>
          <w:rFonts w:ascii="Calibri" w:hAnsi="Calibri"/>
        </w:rPr>
      </w:pPr>
    </w:p>
    <w:p w:rsidR="003E0799" w:rsidRPr="008D510A" w:rsidRDefault="003E0799" w:rsidP="003E0799">
      <w:pPr>
        <w:pStyle w:val="ColorfulList-Accent11"/>
        <w:numPr>
          <w:ilvl w:val="0"/>
          <w:numId w:val="24"/>
        </w:numPr>
        <w:spacing w:after="120"/>
        <w:ind w:left="360"/>
        <w:rPr>
          <w:rFonts w:ascii="Calibri" w:hAnsi="Calibri"/>
        </w:rPr>
      </w:pPr>
      <w:r w:rsidRPr="008D510A">
        <w:rPr>
          <w:rFonts w:ascii="Calibri" w:hAnsi="Calibri"/>
        </w:rPr>
        <w:t>Prior to funding an</w:t>
      </w:r>
      <w:r w:rsidR="005460B0">
        <w:rPr>
          <w:rFonts w:ascii="Calibri" w:hAnsi="Calibri"/>
        </w:rPr>
        <w:t xml:space="preserve">y </w:t>
      </w:r>
      <w:r w:rsidR="00540285">
        <w:rPr>
          <w:rFonts w:ascii="Calibri" w:hAnsi="Calibri"/>
        </w:rPr>
        <w:t xml:space="preserve">organisation, </w:t>
      </w:r>
      <w:r w:rsidRPr="008D510A">
        <w:rPr>
          <w:rFonts w:ascii="Calibri" w:hAnsi="Calibri"/>
        </w:rPr>
        <w:t xml:space="preserve">details of funded entities and their office bearers </w:t>
      </w:r>
      <w:r w:rsidR="00540285">
        <w:rPr>
          <w:rFonts w:ascii="Calibri" w:hAnsi="Calibri"/>
        </w:rPr>
        <w:t xml:space="preserve">will be compared </w:t>
      </w:r>
      <w:r w:rsidRPr="008D510A">
        <w:rPr>
          <w:rFonts w:ascii="Calibri" w:hAnsi="Calibri"/>
        </w:rPr>
        <w:t xml:space="preserve">to Australian Government lists of </w:t>
      </w:r>
      <w:r w:rsidR="00540285">
        <w:rPr>
          <w:rFonts w:ascii="Calibri" w:hAnsi="Calibri"/>
        </w:rPr>
        <w:t>terrorist and proscribed organis</w:t>
      </w:r>
      <w:r w:rsidRPr="008D510A">
        <w:rPr>
          <w:rFonts w:ascii="Calibri" w:hAnsi="Calibri"/>
        </w:rPr>
        <w:t>ations. The relevant lists can be obtained from:</w:t>
      </w:r>
    </w:p>
    <w:p w:rsidR="003E0799" w:rsidRPr="008D510A" w:rsidRDefault="00F9501D" w:rsidP="003E0799">
      <w:pPr>
        <w:ind w:left="360"/>
      </w:pPr>
      <w:hyperlink r:id="rId11" w:history="1">
        <w:r w:rsidR="003E0799" w:rsidRPr="008D510A">
          <w:rPr>
            <w:rStyle w:val="Hyperlink"/>
          </w:rPr>
          <w:t>http://www.dfat.gov.au/icat/UNSC_financial_sanctions.html</w:t>
        </w:r>
      </w:hyperlink>
    </w:p>
    <w:p w:rsidR="003E0799" w:rsidRDefault="00F9501D" w:rsidP="003E0799">
      <w:pPr>
        <w:ind w:left="360"/>
      </w:pPr>
      <w:hyperlink r:id="rId12" w:history="1">
        <w:r w:rsidR="003E0799" w:rsidRPr="008D510A">
          <w:rPr>
            <w:rStyle w:val="Hyperlink"/>
          </w:rPr>
          <w:t>http://www.nationalsecurity.gov.au/agd/www/nationalsecurity.nsf/AllDocs/95FB057CA3DECF30CA256FAB001F7FBD?OpenDocument</w:t>
        </w:r>
      </w:hyperlink>
    </w:p>
    <w:p w:rsidR="00B408BA" w:rsidRPr="008D510A" w:rsidRDefault="00B408BA" w:rsidP="00B408BA">
      <w:pPr>
        <w:ind w:left="360"/>
      </w:pPr>
      <w:r w:rsidRPr="008D510A">
        <w:t xml:space="preserve">Where the number of fund recipients is large consider applying to use LinkMatchLite software to partially automate this task. </w:t>
      </w:r>
    </w:p>
    <w:p w:rsidR="00B408BA" w:rsidRPr="008D510A" w:rsidRDefault="00B408BA" w:rsidP="00B408BA">
      <w:pPr>
        <w:ind w:left="360"/>
      </w:pPr>
      <w:r w:rsidRPr="008D510A">
        <w:t xml:space="preserve">Instructions on how to obtain LinkMatchLite software can </w:t>
      </w:r>
      <w:r w:rsidR="00025EF5" w:rsidRPr="008D510A">
        <w:t>be found</w:t>
      </w:r>
      <w:r w:rsidRPr="008D510A">
        <w:t xml:space="preserve"> at the following site: </w:t>
      </w:r>
    </w:p>
    <w:p w:rsidR="00B408BA" w:rsidRPr="008D510A" w:rsidRDefault="00F9501D" w:rsidP="00B408BA">
      <w:pPr>
        <w:ind w:left="360"/>
      </w:pPr>
      <w:hyperlink r:id="rId13" w:history="1">
        <w:r w:rsidR="00B408BA" w:rsidRPr="008D510A">
          <w:rPr>
            <w:rStyle w:val="Hyperlink"/>
          </w:rPr>
          <w:t>http://www.dfat.gov.au/icat/link_match_terms.html</w:t>
        </w:r>
      </w:hyperlink>
    </w:p>
    <w:p w:rsidR="003E0799" w:rsidRPr="008D510A" w:rsidRDefault="00EF7674" w:rsidP="003E0799">
      <w:pPr>
        <w:ind w:left="360"/>
      </w:pPr>
      <w:r>
        <w:t>Where recipient organis</w:t>
      </w:r>
      <w:r w:rsidR="003E0799" w:rsidRPr="008D510A">
        <w:t>ations or individuals are f</w:t>
      </w:r>
      <w:r w:rsidR="00787348" w:rsidRPr="008D510A">
        <w:t>o</w:t>
      </w:r>
      <w:r w:rsidR="00540285">
        <w:t xml:space="preserve">und to be on either list, </w:t>
      </w:r>
      <w:r w:rsidR="003E0799" w:rsidRPr="008D510A">
        <w:t xml:space="preserve">forwarding funds </w:t>
      </w:r>
      <w:r w:rsidR="00540285">
        <w:t xml:space="preserve">will cease and </w:t>
      </w:r>
      <w:r w:rsidR="003E0799" w:rsidRPr="008D510A">
        <w:t>the national security hotline on 1800 123 4</w:t>
      </w:r>
      <w:r w:rsidR="00787348" w:rsidRPr="008D510A">
        <w:t>00</w:t>
      </w:r>
      <w:r w:rsidR="00540285">
        <w:t xml:space="preserve"> will be informed immediately</w:t>
      </w:r>
      <w:r>
        <w:t>.</w:t>
      </w:r>
      <w:r w:rsidR="00787348" w:rsidRPr="008D510A">
        <w:t xml:space="preserve"> </w:t>
      </w:r>
    </w:p>
    <w:p w:rsidR="00B272F8" w:rsidRPr="00D37CD3" w:rsidRDefault="00B272F8" w:rsidP="004130A5">
      <w:pPr>
        <w:ind w:left="11" w:hanging="11"/>
        <w:rPr>
          <w:sz w:val="22"/>
          <w:szCs w:val="22"/>
        </w:rPr>
      </w:pPr>
    </w:p>
    <w:p w:rsidR="00BE6CC7" w:rsidRPr="008D510A" w:rsidRDefault="00BE6CC7" w:rsidP="002960CC">
      <w:pPr>
        <w:pStyle w:val="Heading2"/>
        <w:spacing w:before="60" w:after="120"/>
        <w:rPr>
          <w:sz w:val="24"/>
          <w:szCs w:val="24"/>
        </w:rPr>
      </w:pPr>
      <w:r w:rsidRPr="008D510A">
        <w:rPr>
          <w:sz w:val="24"/>
          <w:szCs w:val="24"/>
        </w:rPr>
        <w:t>Related Documents</w:t>
      </w:r>
    </w:p>
    <w:p w:rsidR="003E0799" w:rsidRPr="008D510A" w:rsidRDefault="003E0799" w:rsidP="003E0799">
      <w:pPr>
        <w:numPr>
          <w:ilvl w:val="0"/>
          <w:numId w:val="26"/>
        </w:numPr>
      </w:pPr>
      <w:r w:rsidRPr="008D510A">
        <w:t xml:space="preserve">Guidelines for Strengthening Counter-Terrorism Measures in the Australian Aid Program, found at:  </w:t>
      </w:r>
    </w:p>
    <w:p w:rsidR="003E0799" w:rsidRPr="008D510A" w:rsidRDefault="00F9501D" w:rsidP="003E0799">
      <w:pPr>
        <w:ind w:left="284"/>
      </w:pPr>
      <w:hyperlink r:id="rId14" w:history="1">
        <w:r w:rsidRPr="00A75774">
          <w:rPr>
            <w:rStyle w:val="Hyperlink"/>
          </w:rPr>
          <w:t>http://aid.dfat.gov.au/Publications/Pages/3068_5667_7689_8674_4936.aspx</w:t>
        </w:r>
      </w:hyperlink>
      <w:r>
        <w:t xml:space="preserve"> </w:t>
      </w:r>
      <w:bookmarkStart w:id="0" w:name="_GoBack"/>
      <w:bookmarkEnd w:id="0"/>
    </w:p>
    <w:p w:rsidR="003E0799" w:rsidRPr="008D510A" w:rsidRDefault="003E0799" w:rsidP="003E0799">
      <w:pPr>
        <w:ind w:left="284" w:hanging="284"/>
      </w:pPr>
      <w:r w:rsidRPr="008D510A">
        <w:t>2. UK Charity Commission - Compliance Toolkit: Protecting Charities from Harm, found at:</w:t>
      </w:r>
    </w:p>
    <w:p w:rsidR="003E0799" w:rsidRPr="008D510A" w:rsidRDefault="00F9501D" w:rsidP="003E0799">
      <w:pPr>
        <w:ind w:left="284"/>
      </w:pPr>
      <w:hyperlink r:id="rId15" w:history="1">
        <w:r w:rsidR="003E0799" w:rsidRPr="008D510A">
          <w:rPr>
            <w:rStyle w:val="Hyperlink"/>
          </w:rPr>
          <w:t>http://www.charity-commission.gov.uk/Our_regulatory_activity/Counter_terrorism_work/Compliance_toolkit_index.aspx</w:t>
        </w:r>
      </w:hyperlink>
      <w:r w:rsidR="003E0799" w:rsidRPr="008D510A">
        <w:t xml:space="preserve"> </w:t>
      </w:r>
    </w:p>
    <w:p w:rsidR="00C110EB" w:rsidRDefault="00C110EB" w:rsidP="002960CC">
      <w:pPr>
        <w:pStyle w:val="Heading2"/>
        <w:spacing w:before="60" w:after="120"/>
      </w:pPr>
    </w:p>
    <w:p w:rsidR="00BE6CC7" w:rsidRDefault="00BE6CC7" w:rsidP="002960CC">
      <w:pPr>
        <w:pStyle w:val="Heading2"/>
        <w:spacing w:before="60" w:after="120"/>
      </w:pPr>
      <w:r>
        <w:t>Authorisation</w:t>
      </w:r>
    </w:p>
    <w:p w:rsidR="00135AD5" w:rsidRPr="00404F61" w:rsidRDefault="00912029" w:rsidP="00BA77D8">
      <w:pPr>
        <w:rPr>
          <w:b/>
          <w:sz w:val="22"/>
          <w:szCs w:val="22"/>
          <w:lang w:val="en-CA"/>
        </w:rPr>
      </w:pPr>
      <w:r w:rsidRPr="00912029">
        <w:rPr>
          <w:color w:val="808080"/>
          <w:sz w:val="22"/>
          <w:szCs w:val="22"/>
        </w:rPr>
        <w:t>&lt;Signature of CEO&gt;</w:t>
      </w:r>
      <w:r w:rsidRPr="00912029">
        <w:rPr>
          <w:color w:val="808080"/>
          <w:sz w:val="22"/>
          <w:szCs w:val="22"/>
        </w:rPr>
        <w:br/>
        <w:t>&lt;Name of CEO&gt;</w:t>
      </w:r>
      <w:r w:rsidRPr="00912029">
        <w:rPr>
          <w:color w:val="808080"/>
          <w:sz w:val="22"/>
          <w:szCs w:val="22"/>
        </w:rPr>
        <w:br/>
        <w:t>&lt;Date&gt;</w:t>
      </w:r>
    </w:p>
    <w:sectPr w:rsidR="00135AD5" w:rsidRPr="00404F61" w:rsidSect="00DD65E9">
      <w:headerReference w:type="default" r:id="rId16"/>
      <w:pgSz w:w="11900" w:h="16840"/>
      <w:pgMar w:top="993" w:right="1127" w:bottom="993" w:left="1134" w:header="708" w:footer="14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E1A" w:rsidRDefault="001E6E1A" w:rsidP="00BE6CC7">
      <w:pPr>
        <w:spacing w:before="0" w:after="0"/>
      </w:pPr>
      <w:r>
        <w:separator/>
      </w:r>
    </w:p>
  </w:endnote>
  <w:endnote w:type="continuationSeparator" w:id="0">
    <w:p w:rsidR="001E6E1A" w:rsidRDefault="001E6E1A" w:rsidP="00BE6C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4F" w:rsidRPr="008D72C0" w:rsidRDefault="00FD3B4F" w:rsidP="00DD65E9">
    <w:pPr>
      <w:pStyle w:val="Footer"/>
      <w:jc w:val="center"/>
      <w:rPr>
        <w:sz w:val="16"/>
        <w:szCs w:val="16"/>
      </w:rPr>
    </w:pPr>
    <w:r w:rsidRPr="00325E0E">
      <w:rPr>
        <w:b/>
        <w:sz w:val="20"/>
        <w:szCs w:val="20"/>
      </w:rPr>
      <w:t>Policies</w:t>
    </w:r>
    <w:r>
      <w:rPr>
        <w:sz w:val="20"/>
        <w:szCs w:val="20"/>
      </w:rPr>
      <w:t xml:space="preserve"> can be established or altered only by the Board: </w:t>
    </w:r>
    <w:r w:rsidRPr="00325E0E">
      <w:rPr>
        <w:b/>
        <w:sz w:val="20"/>
        <w:szCs w:val="20"/>
      </w:rPr>
      <w:t>Procedures</w:t>
    </w:r>
    <w:r>
      <w:rPr>
        <w:sz w:val="20"/>
        <w:szCs w:val="20"/>
      </w:rPr>
      <w:t xml:space="preserve"> may be altered by the CEO.</w:t>
    </w:r>
    <w:r>
      <w:rPr>
        <w:sz w:val="20"/>
        <w:szCs w:val="20"/>
      </w:rPr>
      <w:br/>
    </w:r>
    <w:r>
      <w:rPr>
        <w:sz w:val="20"/>
        <w:szCs w:val="20"/>
      </w:rP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4F" w:rsidRPr="009C42EA" w:rsidRDefault="00FD3B4F" w:rsidP="00DD65E9">
    <w:pPr>
      <w:pStyle w:val="Footer"/>
      <w:jc w:val="center"/>
      <w:rPr>
        <w:color w:val="7F7F7F"/>
        <w:sz w:val="16"/>
        <w:szCs w:val="16"/>
      </w:rPr>
    </w:pPr>
    <w:r w:rsidRPr="009C42EA">
      <w:rPr>
        <w:b/>
        <w:color w:val="7F7F7F"/>
        <w:sz w:val="20"/>
        <w:szCs w:val="20"/>
      </w:rPr>
      <w:t>Policies</w:t>
    </w:r>
    <w:r w:rsidRPr="009C42EA">
      <w:rPr>
        <w:color w:val="7F7F7F"/>
        <w:sz w:val="20"/>
        <w:szCs w:val="20"/>
      </w:rPr>
      <w:t xml:space="preserve"> can be established or altered only by the Board: </w:t>
    </w:r>
    <w:r w:rsidRPr="009C42EA">
      <w:rPr>
        <w:b/>
        <w:color w:val="7F7F7F"/>
        <w:sz w:val="20"/>
        <w:szCs w:val="20"/>
      </w:rPr>
      <w:t>Procedures</w:t>
    </w:r>
    <w:r w:rsidRPr="009C42EA">
      <w:rPr>
        <w:color w:val="7F7F7F"/>
        <w:sz w:val="20"/>
        <w:szCs w:val="20"/>
      </w:rPr>
      <w:t xml:space="preserve"> may be altered by the CEO.</w:t>
    </w:r>
    <w:r w:rsidRPr="009C42EA">
      <w:rPr>
        <w:color w:val="7F7F7F"/>
        <w:sz w:val="20"/>
        <w:szCs w:val="20"/>
      </w:rPr>
      <w:br/>
    </w:r>
    <w:r w:rsidRPr="009C42EA">
      <w:rPr>
        <w:color w:val="7F7F7F"/>
        <w:sz w:val="20"/>
        <w:szCs w:val="20"/>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E1A" w:rsidRDefault="001E6E1A" w:rsidP="00BE6CC7">
      <w:pPr>
        <w:spacing w:before="0" w:after="0"/>
      </w:pPr>
      <w:r>
        <w:separator/>
      </w:r>
    </w:p>
  </w:footnote>
  <w:footnote w:type="continuationSeparator" w:id="0">
    <w:p w:rsidR="001E6E1A" w:rsidRDefault="001E6E1A" w:rsidP="00BE6C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B4F" w:rsidRPr="00BA77D8" w:rsidRDefault="00FD3B4F" w:rsidP="00BA7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540E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E55CB4"/>
    <w:multiLevelType w:val="multilevel"/>
    <w:tmpl w:val="EE76C1D6"/>
    <w:lvl w:ilvl="0">
      <w:start w:val="1"/>
      <w:numFmt w:val="decimal"/>
      <w:lvlText w:val="%1."/>
      <w:lvlJc w:val="left"/>
      <w:pPr>
        <w:ind w:hanging="358"/>
      </w:pPr>
      <w:rPr>
        <w:rFonts w:ascii="Arial" w:eastAsia="Arial" w:hAnsi="Arial" w:hint="default"/>
        <w:b/>
        <w:bCs/>
        <w:w w:val="101"/>
        <w:sz w:val="24"/>
        <w:szCs w:val="24"/>
      </w:rPr>
    </w:lvl>
    <w:lvl w:ilvl="1">
      <w:start w:val="1"/>
      <w:numFmt w:val="decimal"/>
      <w:lvlText w:val="%1.%2."/>
      <w:lvlJc w:val="left"/>
      <w:pPr>
        <w:ind w:hanging="408"/>
      </w:pPr>
      <w:rPr>
        <w:rFonts w:ascii="Arial" w:eastAsia="Arial" w:hAnsi="Arial" w:hint="default"/>
        <w:w w:val="101"/>
        <w:sz w:val="21"/>
        <w:szCs w:val="21"/>
      </w:rPr>
    </w:lvl>
    <w:lvl w:ilvl="2">
      <w:start w:val="1"/>
      <w:numFmt w:val="decimal"/>
      <w:lvlText w:val="%1.%2.%3."/>
      <w:lvlJc w:val="left"/>
      <w:pPr>
        <w:ind w:hanging="722"/>
      </w:pPr>
      <w:rPr>
        <w:rFonts w:ascii="Arial" w:eastAsia="Arial" w:hAnsi="Arial" w:hint="default"/>
        <w:w w:val="102"/>
        <w:sz w:val="21"/>
        <w:szCs w:val="21"/>
      </w:rPr>
    </w:lvl>
    <w:lvl w:ilvl="3">
      <w:start w:val="1"/>
      <w:numFmt w:val="decimal"/>
      <w:lvlText w:val="%1.%2.%3.%4."/>
      <w:lvlJc w:val="left"/>
      <w:pPr>
        <w:ind w:hanging="1049"/>
      </w:pPr>
      <w:rPr>
        <w:rFonts w:ascii="Arial" w:eastAsia="Arial" w:hAnsi="Arial" w:hint="default"/>
        <w:i/>
        <w:w w:val="99"/>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C215DA7"/>
    <w:multiLevelType w:val="hybridMultilevel"/>
    <w:tmpl w:val="4C888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A43B1C"/>
    <w:multiLevelType w:val="hybridMultilevel"/>
    <w:tmpl w:val="DB8E57C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nsid w:val="213D6622"/>
    <w:multiLevelType w:val="hybridMultilevel"/>
    <w:tmpl w:val="FCAA91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8FC7D04"/>
    <w:multiLevelType w:val="hybridMultilevel"/>
    <w:tmpl w:val="7B6C48D8"/>
    <w:lvl w:ilvl="0" w:tplc="F7F2A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05E24"/>
    <w:multiLevelType w:val="hybridMultilevel"/>
    <w:tmpl w:val="BFF80CB0"/>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506DFD"/>
    <w:multiLevelType w:val="hybridMultilevel"/>
    <w:tmpl w:val="83E2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E8288D"/>
    <w:multiLevelType w:val="hybridMultilevel"/>
    <w:tmpl w:val="B83079F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B67C8"/>
    <w:multiLevelType w:val="hybridMultilevel"/>
    <w:tmpl w:val="9086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243D3"/>
    <w:multiLevelType w:val="hybridMultilevel"/>
    <w:tmpl w:val="0D82A4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1A6F80"/>
    <w:multiLevelType w:val="hybridMultilevel"/>
    <w:tmpl w:val="7D1E52D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4439CE"/>
    <w:multiLevelType w:val="singleLevel"/>
    <w:tmpl w:val="0C09000F"/>
    <w:lvl w:ilvl="0">
      <w:start w:val="1"/>
      <w:numFmt w:val="decimal"/>
      <w:lvlText w:val="%1."/>
      <w:lvlJc w:val="left"/>
      <w:pPr>
        <w:tabs>
          <w:tab w:val="num" w:pos="360"/>
        </w:tabs>
        <w:ind w:left="360" w:hanging="360"/>
      </w:pPr>
    </w:lvl>
  </w:abstractNum>
  <w:abstractNum w:abstractNumId="13">
    <w:nsid w:val="422C5CAF"/>
    <w:multiLevelType w:val="hybridMultilevel"/>
    <w:tmpl w:val="D8F2745E"/>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8C348C"/>
    <w:multiLevelType w:val="hybridMultilevel"/>
    <w:tmpl w:val="18387D52"/>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270418"/>
    <w:multiLevelType w:val="hybridMultilevel"/>
    <w:tmpl w:val="5DE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B2540"/>
    <w:multiLevelType w:val="hybridMultilevel"/>
    <w:tmpl w:val="979CD35C"/>
    <w:lvl w:ilvl="0" w:tplc="3FC6005A">
      <w:start w:val="1"/>
      <w:numFmt w:val="decimal"/>
      <w:lvlText w:val="%1."/>
      <w:lvlJc w:val="left"/>
      <w:pPr>
        <w:ind w:left="644"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F035B2"/>
    <w:multiLevelType w:val="hybridMultilevel"/>
    <w:tmpl w:val="3C669C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F140445"/>
    <w:multiLevelType w:val="hybridMultilevel"/>
    <w:tmpl w:val="BCAA6B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nsid w:val="509C4810"/>
    <w:multiLevelType w:val="hybridMultilevel"/>
    <w:tmpl w:val="DCB6E926"/>
    <w:lvl w:ilvl="0" w:tplc="C6402620">
      <w:start w:val="1"/>
      <w:numFmt w:val="low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0">
    <w:nsid w:val="5240306C"/>
    <w:multiLevelType w:val="hybridMultilevel"/>
    <w:tmpl w:val="B7E446C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nsid w:val="59BC55BC"/>
    <w:multiLevelType w:val="hybridMultilevel"/>
    <w:tmpl w:val="AC3ABE94"/>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F92408"/>
    <w:multiLevelType w:val="hybridMultilevel"/>
    <w:tmpl w:val="F6968C9C"/>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632B43"/>
    <w:multiLevelType w:val="hybridMultilevel"/>
    <w:tmpl w:val="D5026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3546FF"/>
    <w:multiLevelType w:val="multilevel"/>
    <w:tmpl w:val="B85AECB6"/>
    <w:styleLink w:val="StyleBulleted"/>
    <w:lvl w:ilvl="0">
      <w:start w:val="1"/>
      <w:numFmt w:val="bullet"/>
      <w:lvlText w:val=""/>
      <w:lvlJc w:val="left"/>
      <w:pPr>
        <w:tabs>
          <w:tab w:val="num" w:pos="1145"/>
        </w:tabs>
        <w:ind w:left="360" w:hanging="360"/>
      </w:pPr>
      <w:rPr>
        <w:rFonts w:ascii="Symbol" w:hAnsi="Symbol" w:hint="default"/>
        <w:color w:val="auto"/>
        <w:sz w:val="24"/>
      </w:rPr>
    </w:lvl>
    <w:lvl w:ilvl="1">
      <w:start w:val="1"/>
      <w:numFmt w:val="bullet"/>
      <w:lvlText w:val="o"/>
      <w:lvlJc w:val="left"/>
      <w:pPr>
        <w:tabs>
          <w:tab w:val="num" w:pos="1865"/>
        </w:tabs>
        <w:ind w:left="1865" w:hanging="360"/>
      </w:pPr>
      <w:rPr>
        <w:rFonts w:ascii="Courier New" w:hAnsi="Courier New" w:cs="Symbol"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Symbol"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Symbol" w:hint="default"/>
      </w:rPr>
    </w:lvl>
    <w:lvl w:ilvl="8">
      <w:start w:val="1"/>
      <w:numFmt w:val="bullet"/>
      <w:lvlText w:val=""/>
      <w:lvlJc w:val="left"/>
      <w:pPr>
        <w:tabs>
          <w:tab w:val="num" w:pos="6905"/>
        </w:tabs>
        <w:ind w:left="6905" w:hanging="360"/>
      </w:pPr>
      <w:rPr>
        <w:rFonts w:ascii="Wingdings" w:hAnsi="Wingdings" w:hint="default"/>
      </w:rPr>
    </w:lvl>
  </w:abstractNum>
  <w:abstractNum w:abstractNumId="25">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1B4772"/>
    <w:multiLevelType w:val="hybridMultilevel"/>
    <w:tmpl w:val="4FE2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143A8"/>
    <w:multiLevelType w:val="hybridMultilevel"/>
    <w:tmpl w:val="AEC4224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8">
    <w:nsid w:val="7D1904C4"/>
    <w:multiLevelType w:val="hybridMultilevel"/>
    <w:tmpl w:val="EEF2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6"/>
  </w:num>
  <w:num w:numId="4">
    <w:abstractNumId w:val="13"/>
  </w:num>
  <w:num w:numId="5">
    <w:abstractNumId w:val="11"/>
  </w:num>
  <w:num w:numId="6">
    <w:abstractNumId w:val="14"/>
  </w:num>
  <w:num w:numId="7">
    <w:abstractNumId w:val="22"/>
  </w:num>
  <w:num w:numId="8">
    <w:abstractNumId w:val="25"/>
  </w:num>
  <w:num w:numId="9">
    <w:abstractNumId w:val="7"/>
  </w:num>
  <w:num w:numId="10">
    <w:abstractNumId w:val="20"/>
  </w:num>
  <w:num w:numId="11">
    <w:abstractNumId w:val="24"/>
  </w:num>
  <w:num w:numId="12">
    <w:abstractNumId w:val="27"/>
  </w:num>
  <w:num w:numId="13">
    <w:abstractNumId w:val="18"/>
  </w:num>
  <w:num w:numId="14">
    <w:abstractNumId w:val="3"/>
  </w:num>
  <w:num w:numId="15">
    <w:abstractNumId w:val="19"/>
  </w:num>
  <w:num w:numId="16">
    <w:abstractNumId w:val="26"/>
  </w:num>
  <w:num w:numId="17">
    <w:abstractNumId w:val="17"/>
  </w:num>
  <w:num w:numId="18">
    <w:abstractNumId w:val="23"/>
  </w:num>
  <w:num w:numId="19">
    <w:abstractNumId w:val="5"/>
  </w:num>
  <w:num w:numId="20">
    <w:abstractNumId w:val="4"/>
  </w:num>
  <w:num w:numId="21">
    <w:abstractNumId w:val="8"/>
  </w:num>
  <w:num w:numId="22">
    <w:abstractNumId w:val="0"/>
  </w:num>
  <w:num w:numId="23">
    <w:abstractNumId w:val="10"/>
  </w:num>
  <w:num w:numId="24">
    <w:abstractNumId w:val="16"/>
  </w:num>
  <w:num w:numId="25">
    <w:abstractNumId w:val="9"/>
  </w:num>
  <w:num w:numId="26">
    <w:abstractNumId w:val="2"/>
  </w:num>
  <w:num w:numId="27">
    <w:abstractNumId w:val="28"/>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C7"/>
    <w:rsid w:val="00025EF5"/>
    <w:rsid w:val="0003423F"/>
    <w:rsid w:val="000B3596"/>
    <w:rsid w:val="000D30A5"/>
    <w:rsid w:val="000D6448"/>
    <w:rsid w:val="001126E6"/>
    <w:rsid w:val="00135AD5"/>
    <w:rsid w:val="00171C79"/>
    <w:rsid w:val="001C145A"/>
    <w:rsid w:val="001E636F"/>
    <w:rsid w:val="001E6E1A"/>
    <w:rsid w:val="00245377"/>
    <w:rsid w:val="002468A9"/>
    <w:rsid w:val="00251351"/>
    <w:rsid w:val="002628F0"/>
    <w:rsid w:val="00264001"/>
    <w:rsid w:val="002960CC"/>
    <w:rsid w:val="002F0935"/>
    <w:rsid w:val="00350D26"/>
    <w:rsid w:val="00374F45"/>
    <w:rsid w:val="003941AF"/>
    <w:rsid w:val="003E0799"/>
    <w:rsid w:val="004130A5"/>
    <w:rsid w:val="00435BB5"/>
    <w:rsid w:val="00443AD6"/>
    <w:rsid w:val="004B2A16"/>
    <w:rsid w:val="004D404E"/>
    <w:rsid w:val="004F2DE8"/>
    <w:rsid w:val="00507CED"/>
    <w:rsid w:val="00540285"/>
    <w:rsid w:val="0054260C"/>
    <w:rsid w:val="005460B0"/>
    <w:rsid w:val="00572C23"/>
    <w:rsid w:val="00577D38"/>
    <w:rsid w:val="005849AB"/>
    <w:rsid w:val="00650AD6"/>
    <w:rsid w:val="007015D5"/>
    <w:rsid w:val="00720AC3"/>
    <w:rsid w:val="007333D2"/>
    <w:rsid w:val="007415FC"/>
    <w:rsid w:val="00763A9A"/>
    <w:rsid w:val="00777E2D"/>
    <w:rsid w:val="00787348"/>
    <w:rsid w:val="007967D2"/>
    <w:rsid w:val="007C3743"/>
    <w:rsid w:val="00824F9D"/>
    <w:rsid w:val="008276BF"/>
    <w:rsid w:val="00840DE1"/>
    <w:rsid w:val="008627F2"/>
    <w:rsid w:val="008C370F"/>
    <w:rsid w:val="008D510A"/>
    <w:rsid w:val="008D72C0"/>
    <w:rsid w:val="00912029"/>
    <w:rsid w:val="009731D5"/>
    <w:rsid w:val="009B2DFB"/>
    <w:rsid w:val="009B59B7"/>
    <w:rsid w:val="009C42EA"/>
    <w:rsid w:val="009F76BA"/>
    <w:rsid w:val="00A651CB"/>
    <w:rsid w:val="00AA6AFF"/>
    <w:rsid w:val="00B272F8"/>
    <w:rsid w:val="00B408BA"/>
    <w:rsid w:val="00B537F6"/>
    <w:rsid w:val="00BA0D4A"/>
    <w:rsid w:val="00BA77D8"/>
    <w:rsid w:val="00BE6CC7"/>
    <w:rsid w:val="00C110EB"/>
    <w:rsid w:val="00C47146"/>
    <w:rsid w:val="00C64BF6"/>
    <w:rsid w:val="00C80EB6"/>
    <w:rsid w:val="00CB77AA"/>
    <w:rsid w:val="00CE2159"/>
    <w:rsid w:val="00CF0448"/>
    <w:rsid w:val="00D37CD3"/>
    <w:rsid w:val="00DD65E9"/>
    <w:rsid w:val="00E00D3C"/>
    <w:rsid w:val="00E51440"/>
    <w:rsid w:val="00E540ED"/>
    <w:rsid w:val="00E607F7"/>
    <w:rsid w:val="00E80803"/>
    <w:rsid w:val="00E85BA8"/>
    <w:rsid w:val="00E91416"/>
    <w:rsid w:val="00EC3603"/>
    <w:rsid w:val="00EF7674"/>
    <w:rsid w:val="00F36E43"/>
    <w:rsid w:val="00F6394A"/>
    <w:rsid w:val="00F76612"/>
    <w:rsid w:val="00F77EE5"/>
    <w:rsid w:val="00F9501D"/>
    <w:rsid w:val="00FC5E23"/>
    <w:rsid w:val="00FD26E2"/>
    <w:rsid w:val="00FD3B4F"/>
    <w:rsid w:val="00FE0FE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B2DFB"/>
    <w:pPr>
      <w:spacing w:before="60" w:after="120"/>
    </w:pPr>
    <w:rPr>
      <w:sz w:val="24"/>
      <w:szCs w:val="24"/>
      <w:lang w:val="en-US" w:eastAsia="en-US"/>
    </w:rPr>
  </w:style>
  <w:style w:type="paragraph" w:styleId="Heading1">
    <w:name w:val="heading 1"/>
    <w:basedOn w:val="Normal"/>
    <w:next w:val="Normal"/>
    <w:link w:val="Heading1Char"/>
    <w:uiPriority w:val="9"/>
    <w:qFormat/>
    <w:rsid w:val="009B2DFB"/>
    <w:pPr>
      <w:keepNext/>
      <w:keepLines/>
      <w:spacing w:before="240" w:after="160"/>
      <w:outlineLvl w:val="0"/>
    </w:pPr>
    <w:rPr>
      <w:rFonts w:eastAsia="MS Gothic"/>
      <w:b/>
      <w:bCs/>
      <w:caps/>
      <w:sz w:val="36"/>
      <w:szCs w:val="36"/>
      <w:lang w:val="x-none" w:eastAsia="x-none"/>
    </w:rPr>
  </w:style>
  <w:style w:type="paragraph" w:styleId="Heading2">
    <w:name w:val="heading 2"/>
    <w:basedOn w:val="Normal"/>
    <w:next w:val="Normal"/>
    <w:link w:val="Heading2Char"/>
    <w:uiPriority w:val="9"/>
    <w:qFormat/>
    <w:rsid w:val="009B2DFB"/>
    <w:pPr>
      <w:keepNext/>
      <w:keepLines/>
      <w:spacing w:before="180" w:after="140"/>
      <w:outlineLvl w:val="1"/>
    </w:pPr>
    <w:rPr>
      <w:rFonts w:eastAsia="MS Gothic"/>
      <w:b/>
      <w:bCs/>
      <w:smallCaps/>
      <w:sz w:val="32"/>
      <w:szCs w:val="32"/>
      <w:lang w:val="x-none" w:eastAsia="x-none"/>
    </w:rPr>
  </w:style>
  <w:style w:type="paragraph" w:styleId="Heading3">
    <w:name w:val="heading 3"/>
    <w:basedOn w:val="Normal"/>
    <w:next w:val="Normal"/>
    <w:link w:val="Heading3Char"/>
    <w:uiPriority w:val="9"/>
    <w:qFormat/>
    <w:rsid w:val="009B2DFB"/>
    <w:pPr>
      <w:keepNext/>
      <w:keepLines/>
      <w:spacing w:before="160"/>
      <w:outlineLvl w:val="2"/>
    </w:pPr>
    <w:rPr>
      <w:rFonts w:eastAsia="MS Gothic"/>
      <w:b/>
      <w:bCs/>
      <w:sz w:val="28"/>
      <w:szCs w:val="28"/>
      <w:lang w:val="x-none" w:eastAsia="x-none"/>
    </w:rPr>
  </w:style>
  <w:style w:type="paragraph" w:styleId="Heading4">
    <w:name w:val="heading 4"/>
    <w:basedOn w:val="Normal"/>
    <w:next w:val="Normal"/>
    <w:link w:val="Heading4Char"/>
    <w:uiPriority w:val="9"/>
    <w:qFormat/>
    <w:rsid w:val="009B2DFB"/>
    <w:pPr>
      <w:keepNext/>
      <w:keepLines/>
      <w:spacing w:before="120"/>
      <w:outlineLvl w:val="3"/>
    </w:pPr>
    <w:rPr>
      <w:rFonts w:eastAsia="MS Gothic"/>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9B2DFB"/>
    <w:rPr>
      <w:rFonts w:ascii="Calibri" w:eastAsia="MS Gothic" w:hAnsi="Calibri" w:cs="Times New Roman"/>
      <w:b/>
      <w:bCs/>
      <w:i/>
      <w:iCs/>
      <w:sz w:val="26"/>
      <w:szCs w:val="26"/>
    </w:rPr>
  </w:style>
  <w:style w:type="character" w:customStyle="1" w:styleId="Heading3Char">
    <w:name w:val="Heading 3 Char"/>
    <w:link w:val="Heading3"/>
    <w:uiPriority w:val="9"/>
    <w:semiHidden/>
    <w:rsid w:val="009B2DFB"/>
    <w:rPr>
      <w:rFonts w:ascii="Calibri" w:eastAsia="MS Gothic" w:hAnsi="Calibri" w:cs="Times New Roman"/>
      <w:b/>
      <w:bCs/>
      <w:sz w:val="28"/>
      <w:szCs w:val="28"/>
    </w:rPr>
  </w:style>
  <w:style w:type="character" w:customStyle="1" w:styleId="Heading2Char">
    <w:name w:val="Heading 2 Char"/>
    <w:link w:val="Heading2"/>
    <w:uiPriority w:val="9"/>
    <w:rsid w:val="009B2DFB"/>
    <w:rPr>
      <w:rFonts w:ascii="Calibri" w:eastAsia="MS Gothic" w:hAnsi="Calibri" w:cs="Times New Roman"/>
      <w:b/>
      <w:bCs/>
      <w:smallCaps/>
      <w:sz w:val="32"/>
      <w:szCs w:val="32"/>
    </w:rPr>
  </w:style>
  <w:style w:type="character" w:customStyle="1" w:styleId="Heading1Char">
    <w:name w:val="Heading 1 Char"/>
    <w:link w:val="Heading1"/>
    <w:uiPriority w:val="9"/>
    <w:rsid w:val="009B2DFB"/>
    <w:rPr>
      <w:rFonts w:ascii="Calibri" w:eastAsia="MS Gothic" w:hAnsi="Calibri" w:cs="Times New Roman"/>
      <w:b/>
      <w:bCs/>
      <w:caps/>
      <w:sz w:val="36"/>
      <w:szCs w:val="36"/>
    </w:rPr>
  </w:style>
  <w:style w:type="paragraph" w:styleId="Title">
    <w:name w:val="Title"/>
    <w:basedOn w:val="Normal"/>
    <w:next w:val="Normal"/>
    <w:link w:val="TitleChar"/>
    <w:uiPriority w:val="10"/>
    <w:qFormat/>
    <w:rsid w:val="009B2DFB"/>
    <w:pPr>
      <w:keepLines/>
      <w:pageBreakBefore/>
      <w:pBdr>
        <w:bottom w:val="single" w:sz="8" w:space="4" w:color="4F81BD"/>
      </w:pBdr>
      <w:spacing w:before="100" w:after="360"/>
      <w:contextualSpacing/>
      <w:jc w:val="center"/>
    </w:pPr>
    <w:rPr>
      <w:rFonts w:eastAsia="MS Gothic"/>
      <w:b/>
      <w:bCs/>
      <w:caps/>
      <w:spacing w:val="5"/>
      <w:kern w:val="28"/>
      <w:sz w:val="48"/>
      <w:szCs w:val="48"/>
      <w:lang w:val="x-none" w:eastAsia="x-none"/>
    </w:rPr>
  </w:style>
  <w:style w:type="character" w:customStyle="1" w:styleId="TitleChar">
    <w:name w:val="Title Char"/>
    <w:link w:val="Title"/>
    <w:uiPriority w:val="10"/>
    <w:rsid w:val="009B2DFB"/>
    <w:rPr>
      <w:rFonts w:ascii="Calibri" w:eastAsia="MS Gothic" w:hAnsi="Calibri" w:cs="Times New Roman"/>
      <w:b/>
      <w:bCs/>
      <w:caps/>
      <w:spacing w:val="5"/>
      <w:kern w:val="28"/>
      <w:sz w:val="48"/>
      <w:szCs w:val="48"/>
    </w:rPr>
  </w:style>
  <w:style w:type="paragraph" w:styleId="FootnoteText">
    <w:name w:val="footnote text"/>
    <w:basedOn w:val="Normal"/>
    <w:link w:val="FootnoteTextChar"/>
    <w:uiPriority w:val="99"/>
    <w:semiHidden/>
    <w:unhideWhenUsed/>
    <w:rsid w:val="009B2DFB"/>
    <w:pPr>
      <w:spacing w:before="40" w:after="40"/>
    </w:pPr>
    <w:rPr>
      <w:sz w:val="20"/>
      <w:szCs w:val="20"/>
      <w:lang w:val="x-none" w:eastAsia="x-none"/>
    </w:rPr>
  </w:style>
  <w:style w:type="character" w:customStyle="1" w:styleId="FootnoteTextChar">
    <w:name w:val="Footnote Text Char"/>
    <w:link w:val="FootnoteText"/>
    <w:uiPriority w:val="99"/>
    <w:semiHidden/>
    <w:rsid w:val="009B2DFB"/>
    <w:rPr>
      <w:rFonts w:ascii="Calibri" w:hAnsi="Calibri"/>
      <w:sz w:val="20"/>
    </w:rPr>
  </w:style>
  <w:style w:type="paragraph" w:styleId="Header">
    <w:name w:val="header"/>
    <w:basedOn w:val="Normal"/>
    <w:link w:val="HeaderChar"/>
    <w:uiPriority w:val="99"/>
    <w:unhideWhenUsed/>
    <w:rsid w:val="00BE6CC7"/>
    <w:pPr>
      <w:tabs>
        <w:tab w:val="center" w:pos="4320"/>
        <w:tab w:val="right" w:pos="8640"/>
      </w:tabs>
      <w:spacing w:before="0" w:after="0"/>
    </w:pPr>
  </w:style>
  <w:style w:type="character" w:customStyle="1" w:styleId="HeaderChar">
    <w:name w:val="Header Char"/>
    <w:basedOn w:val="DefaultParagraphFont"/>
    <w:link w:val="Header"/>
    <w:uiPriority w:val="99"/>
    <w:rsid w:val="00BE6CC7"/>
  </w:style>
  <w:style w:type="paragraph" w:styleId="Footer">
    <w:name w:val="footer"/>
    <w:basedOn w:val="Normal"/>
    <w:link w:val="FooterChar"/>
    <w:uiPriority w:val="99"/>
    <w:unhideWhenUsed/>
    <w:rsid w:val="00BE6CC7"/>
    <w:pPr>
      <w:tabs>
        <w:tab w:val="center" w:pos="4320"/>
        <w:tab w:val="right" w:pos="8640"/>
      </w:tabs>
      <w:spacing w:before="0" w:after="0"/>
    </w:pPr>
  </w:style>
  <w:style w:type="character" w:customStyle="1" w:styleId="FooterChar">
    <w:name w:val="Footer Char"/>
    <w:basedOn w:val="DefaultParagraphFont"/>
    <w:link w:val="Footer"/>
    <w:uiPriority w:val="99"/>
    <w:rsid w:val="00BE6CC7"/>
  </w:style>
  <w:style w:type="paragraph" w:styleId="BalloonText">
    <w:name w:val="Balloon Text"/>
    <w:basedOn w:val="Normal"/>
    <w:link w:val="BalloonTextChar"/>
    <w:uiPriority w:val="99"/>
    <w:semiHidden/>
    <w:unhideWhenUsed/>
    <w:rsid w:val="00BE6CC7"/>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BE6CC7"/>
    <w:rPr>
      <w:rFonts w:ascii="Lucida Grande" w:hAnsi="Lucida Grande" w:cs="Lucida Grande"/>
      <w:sz w:val="18"/>
      <w:szCs w:val="18"/>
    </w:rPr>
  </w:style>
  <w:style w:type="table" w:styleId="TableGrid">
    <w:name w:val="Table Grid"/>
    <w:basedOn w:val="TableNormal"/>
    <w:uiPriority w:val="59"/>
    <w:rsid w:val="00E80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qFormat/>
    <w:rsid w:val="00840DE1"/>
    <w:pPr>
      <w:ind w:left="720"/>
      <w:contextualSpacing/>
    </w:pPr>
  </w:style>
  <w:style w:type="paragraph" w:customStyle="1" w:styleId="StyleBookAntiqua11ptLeft075cm">
    <w:name w:val="Style Book Antiqua 11 pt Left:  0.75 cm"/>
    <w:basedOn w:val="Normal"/>
    <w:rsid w:val="00FE0FE6"/>
    <w:pPr>
      <w:spacing w:after="100"/>
      <w:ind w:left="426"/>
      <w:contextualSpacing/>
    </w:pPr>
    <w:rPr>
      <w:rFonts w:ascii="Book Antiqua" w:eastAsia="Times New Roman" w:hAnsi="Book Antiqua"/>
      <w:sz w:val="22"/>
    </w:rPr>
  </w:style>
  <w:style w:type="numbering" w:customStyle="1" w:styleId="StyleBulleted">
    <w:name w:val="Style Bulleted"/>
    <w:basedOn w:val="NoList"/>
    <w:rsid w:val="00FE0FE6"/>
    <w:pPr>
      <w:numPr>
        <w:numId w:val="11"/>
      </w:numPr>
    </w:pPr>
  </w:style>
  <w:style w:type="character" w:styleId="Hyperlink">
    <w:name w:val="Hyperlink"/>
    <w:uiPriority w:val="99"/>
    <w:unhideWhenUsed/>
    <w:rsid w:val="00B272F8"/>
    <w:rPr>
      <w:color w:val="0000FF"/>
      <w:u w:val="single"/>
    </w:rPr>
  </w:style>
  <w:style w:type="paragraph" w:styleId="PlainText">
    <w:name w:val="Plain Text"/>
    <w:basedOn w:val="Normal"/>
    <w:link w:val="PlainTextChar"/>
    <w:rsid w:val="005849AB"/>
    <w:pPr>
      <w:spacing w:before="40" w:after="40"/>
      <w:contextualSpacing/>
    </w:pPr>
    <w:rPr>
      <w:rFonts w:ascii="Book Antiqua" w:eastAsia="Times New Roman" w:hAnsi="Book Antiqua"/>
      <w:sz w:val="22"/>
      <w:lang w:val="x-none" w:eastAsia="x-none"/>
    </w:rPr>
  </w:style>
  <w:style w:type="character" w:customStyle="1" w:styleId="PlainTextChar">
    <w:name w:val="Plain Text Char"/>
    <w:link w:val="PlainText"/>
    <w:rsid w:val="005849AB"/>
    <w:rPr>
      <w:rFonts w:ascii="Book Antiqua" w:eastAsia="Times New Roman" w:hAnsi="Book Antiqua"/>
      <w:sz w:val="22"/>
      <w:szCs w:val="24"/>
    </w:rPr>
  </w:style>
  <w:style w:type="character" w:styleId="FollowedHyperlink">
    <w:name w:val="FollowedHyperlink"/>
    <w:uiPriority w:val="99"/>
    <w:semiHidden/>
    <w:unhideWhenUsed/>
    <w:rsid w:val="004130A5"/>
    <w:rPr>
      <w:color w:val="800080"/>
      <w:u w:val="single"/>
    </w:rPr>
  </w:style>
  <w:style w:type="paragraph" w:customStyle="1" w:styleId="ColorfulList-Accent11">
    <w:name w:val="Colorful List - Accent 11"/>
    <w:basedOn w:val="Normal"/>
    <w:uiPriority w:val="34"/>
    <w:qFormat/>
    <w:rsid w:val="003E0799"/>
    <w:pPr>
      <w:spacing w:before="0" w:after="200"/>
      <w:ind w:left="720"/>
      <w:contextualSpacing/>
    </w:pPr>
    <w:rPr>
      <w:rFonts w:ascii="Cambria" w:hAnsi="Cambria"/>
      <w:lang w:eastAsia="ja-JP"/>
    </w:rPr>
  </w:style>
  <w:style w:type="paragraph" w:styleId="BodyText">
    <w:name w:val="Body Text"/>
    <w:basedOn w:val="Normal"/>
    <w:link w:val="BodyTextChar"/>
    <w:uiPriority w:val="1"/>
    <w:qFormat/>
    <w:rsid w:val="00C64BF6"/>
    <w:pPr>
      <w:widowControl w:val="0"/>
      <w:spacing w:before="0" w:after="0"/>
      <w:ind w:left="1491" w:hanging="836"/>
    </w:pPr>
    <w:rPr>
      <w:rFonts w:ascii="Arial" w:eastAsia="Arial" w:hAnsi="Arial"/>
      <w:sz w:val="21"/>
      <w:szCs w:val="21"/>
    </w:rPr>
  </w:style>
  <w:style w:type="character" w:customStyle="1" w:styleId="BodyTextChar">
    <w:name w:val="Body Text Char"/>
    <w:link w:val="BodyText"/>
    <w:uiPriority w:val="1"/>
    <w:rsid w:val="00C64BF6"/>
    <w:rPr>
      <w:rFonts w:ascii="Arial" w:eastAsia="Arial" w:hAnsi="Arial"/>
      <w:sz w:val="21"/>
      <w:szCs w:val="21"/>
      <w:lang w:val="en-US"/>
    </w:rPr>
  </w:style>
  <w:style w:type="paragraph" w:styleId="ListParagraph">
    <w:name w:val="List Paragraph"/>
    <w:basedOn w:val="Normal"/>
    <w:uiPriority w:val="72"/>
    <w:qFormat/>
    <w:rsid w:val="0054260C"/>
    <w:pPr>
      <w:ind w:left="720"/>
    </w:pPr>
  </w:style>
  <w:style w:type="paragraph" w:styleId="EndnoteText">
    <w:name w:val="endnote text"/>
    <w:basedOn w:val="Normal"/>
    <w:link w:val="EndnoteTextChar"/>
    <w:uiPriority w:val="99"/>
    <w:semiHidden/>
    <w:unhideWhenUsed/>
    <w:rsid w:val="00E607F7"/>
    <w:rPr>
      <w:sz w:val="20"/>
      <w:szCs w:val="20"/>
    </w:rPr>
  </w:style>
  <w:style w:type="character" w:customStyle="1" w:styleId="EndnoteTextChar">
    <w:name w:val="Endnote Text Char"/>
    <w:link w:val="EndnoteText"/>
    <w:uiPriority w:val="99"/>
    <w:semiHidden/>
    <w:rsid w:val="00E607F7"/>
    <w:rPr>
      <w:lang w:val="en-US" w:eastAsia="en-US"/>
    </w:rPr>
  </w:style>
  <w:style w:type="character" w:styleId="EndnoteReference">
    <w:name w:val="endnote reference"/>
    <w:uiPriority w:val="99"/>
    <w:semiHidden/>
    <w:unhideWhenUsed/>
    <w:rsid w:val="00E607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B2DFB"/>
    <w:pPr>
      <w:spacing w:before="60" w:after="120"/>
    </w:pPr>
    <w:rPr>
      <w:sz w:val="24"/>
      <w:szCs w:val="24"/>
      <w:lang w:val="en-US" w:eastAsia="en-US"/>
    </w:rPr>
  </w:style>
  <w:style w:type="paragraph" w:styleId="Heading1">
    <w:name w:val="heading 1"/>
    <w:basedOn w:val="Normal"/>
    <w:next w:val="Normal"/>
    <w:link w:val="Heading1Char"/>
    <w:uiPriority w:val="9"/>
    <w:qFormat/>
    <w:rsid w:val="009B2DFB"/>
    <w:pPr>
      <w:keepNext/>
      <w:keepLines/>
      <w:spacing w:before="240" w:after="160"/>
      <w:outlineLvl w:val="0"/>
    </w:pPr>
    <w:rPr>
      <w:rFonts w:eastAsia="MS Gothic"/>
      <w:b/>
      <w:bCs/>
      <w:caps/>
      <w:sz w:val="36"/>
      <w:szCs w:val="36"/>
      <w:lang w:val="x-none" w:eastAsia="x-none"/>
    </w:rPr>
  </w:style>
  <w:style w:type="paragraph" w:styleId="Heading2">
    <w:name w:val="heading 2"/>
    <w:basedOn w:val="Normal"/>
    <w:next w:val="Normal"/>
    <w:link w:val="Heading2Char"/>
    <w:uiPriority w:val="9"/>
    <w:qFormat/>
    <w:rsid w:val="009B2DFB"/>
    <w:pPr>
      <w:keepNext/>
      <w:keepLines/>
      <w:spacing w:before="180" w:after="140"/>
      <w:outlineLvl w:val="1"/>
    </w:pPr>
    <w:rPr>
      <w:rFonts w:eastAsia="MS Gothic"/>
      <w:b/>
      <w:bCs/>
      <w:smallCaps/>
      <w:sz w:val="32"/>
      <w:szCs w:val="32"/>
      <w:lang w:val="x-none" w:eastAsia="x-none"/>
    </w:rPr>
  </w:style>
  <w:style w:type="paragraph" w:styleId="Heading3">
    <w:name w:val="heading 3"/>
    <w:basedOn w:val="Normal"/>
    <w:next w:val="Normal"/>
    <w:link w:val="Heading3Char"/>
    <w:uiPriority w:val="9"/>
    <w:qFormat/>
    <w:rsid w:val="009B2DFB"/>
    <w:pPr>
      <w:keepNext/>
      <w:keepLines/>
      <w:spacing w:before="160"/>
      <w:outlineLvl w:val="2"/>
    </w:pPr>
    <w:rPr>
      <w:rFonts w:eastAsia="MS Gothic"/>
      <w:b/>
      <w:bCs/>
      <w:sz w:val="28"/>
      <w:szCs w:val="28"/>
      <w:lang w:val="x-none" w:eastAsia="x-none"/>
    </w:rPr>
  </w:style>
  <w:style w:type="paragraph" w:styleId="Heading4">
    <w:name w:val="heading 4"/>
    <w:basedOn w:val="Normal"/>
    <w:next w:val="Normal"/>
    <w:link w:val="Heading4Char"/>
    <w:uiPriority w:val="9"/>
    <w:qFormat/>
    <w:rsid w:val="009B2DFB"/>
    <w:pPr>
      <w:keepNext/>
      <w:keepLines/>
      <w:spacing w:before="120"/>
      <w:outlineLvl w:val="3"/>
    </w:pPr>
    <w:rPr>
      <w:rFonts w:eastAsia="MS Gothic"/>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9B2DFB"/>
    <w:rPr>
      <w:rFonts w:ascii="Calibri" w:eastAsia="MS Gothic" w:hAnsi="Calibri" w:cs="Times New Roman"/>
      <w:b/>
      <w:bCs/>
      <w:i/>
      <w:iCs/>
      <w:sz w:val="26"/>
      <w:szCs w:val="26"/>
    </w:rPr>
  </w:style>
  <w:style w:type="character" w:customStyle="1" w:styleId="Heading3Char">
    <w:name w:val="Heading 3 Char"/>
    <w:link w:val="Heading3"/>
    <w:uiPriority w:val="9"/>
    <w:semiHidden/>
    <w:rsid w:val="009B2DFB"/>
    <w:rPr>
      <w:rFonts w:ascii="Calibri" w:eastAsia="MS Gothic" w:hAnsi="Calibri" w:cs="Times New Roman"/>
      <w:b/>
      <w:bCs/>
      <w:sz w:val="28"/>
      <w:szCs w:val="28"/>
    </w:rPr>
  </w:style>
  <w:style w:type="character" w:customStyle="1" w:styleId="Heading2Char">
    <w:name w:val="Heading 2 Char"/>
    <w:link w:val="Heading2"/>
    <w:uiPriority w:val="9"/>
    <w:rsid w:val="009B2DFB"/>
    <w:rPr>
      <w:rFonts w:ascii="Calibri" w:eastAsia="MS Gothic" w:hAnsi="Calibri" w:cs="Times New Roman"/>
      <w:b/>
      <w:bCs/>
      <w:smallCaps/>
      <w:sz w:val="32"/>
      <w:szCs w:val="32"/>
    </w:rPr>
  </w:style>
  <w:style w:type="character" w:customStyle="1" w:styleId="Heading1Char">
    <w:name w:val="Heading 1 Char"/>
    <w:link w:val="Heading1"/>
    <w:uiPriority w:val="9"/>
    <w:rsid w:val="009B2DFB"/>
    <w:rPr>
      <w:rFonts w:ascii="Calibri" w:eastAsia="MS Gothic" w:hAnsi="Calibri" w:cs="Times New Roman"/>
      <w:b/>
      <w:bCs/>
      <w:caps/>
      <w:sz w:val="36"/>
      <w:szCs w:val="36"/>
    </w:rPr>
  </w:style>
  <w:style w:type="paragraph" w:styleId="Title">
    <w:name w:val="Title"/>
    <w:basedOn w:val="Normal"/>
    <w:next w:val="Normal"/>
    <w:link w:val="TitleChar"/>
    <w:uiPriority w:val="10"/>
    <w:qFormat/>
    <w:rsid w:val="009B2DFB"/>
    <w:pPr>
      <w:keepLines/>
      <w:pageBreakBefore/>
      <w:pBdr>
        <w:bottom w:val="single" w:sz="8" w:space="4" w:color="4F81BD"/>
      </w:pBdr>
      <w:spacing w:before="100" w:after="360"/>
      <w:contextualSpacing/>
      <w:jc w:val="center"/>
    </w:pPr>
    <w:rPr>
      <w:rFonts w:eastAsia="MS Gothic"/>
      <w:b/>
      <w:bCs/>
      <w:caps/>
      <w:spacing w:val="5"/>
      <w:kern w:val="28"/>
      <w:sz w:val="48"/>
      <w:szCs w:val="48"/>
      <w:lang w:val="x-none" w:eastAsia="x-none"/>
    </w:rPr>
  </w:style>
  <w:style w:type="character" w:customStyle="1" w:styleId="TitleChar">
    <w:name w:val="Title Char"/>
    <w:link w:val="Title"/>
    <w:uiPriority w:val="10"/>
    <w:rsid w:val="009B2DFB"/>
    <w:rPr>
      <w:rFonts w:ascii="Calibri" w:eastAsia="MS Gothic" w:hAnsi="Calibri" w:cs="Times New Roman"/>
      <w:b/>
      <w:bCs/>
      <w:caps/>
      <w:spacing w:val="5"/>
      <w:kern w:val="28"/>
      <w:sz w:val="48"/>
      <w:szCs w:val="48"/>
    </w:rPr>
  </w:style>
  <w:style w:type="paragraph" w:styleId="FootnoteText">
    <w:name w:val="footnote text"/>
    <w:basedOn w:val="Normal"/>
    <w:link w:val="FootnoteTextChar"/>
    <w:uiPriority w:val="99"/>
    <w:semiHidden/>
    <w:unhideWhenUsed/>
    <w:rsid w:val="009B2DFB"/>
    <w:pPr>
      <w:spacing w:before="40" w:after="40"/>
    </w:pPr>
    <w:rPr>
      <w:sz w:val="20"/>
      <w:szCs w:val="20"/>
      <w:lang w:val="x-none" w:eastAsia="x-none"/>
    </w:rPr>
  </w:style>
  <w:style w:type="character" w:customStyle="1" w:styleId="FootnoteTextChar">
    <w:name w:val="Footnote Text Char"/>
    <w:link w:val="FootnoteText"/>
    <w:uiPriority w:val="99"/>
    <w:semiHidden/>
    <w:rsid w:val="009B2DFB"/>
    <w:rPr>
      <w:rFonts w:ascii="Calibri" w:hAnsi="Calibri"/>
      <w:sz w:val="20"/>
    </w:rPr>
  </w:style>
  <w:style w:type="paragraph" w:styleId="Header">
    <w:name w:val="header"/>
    <w:basedOn w:val="Normal"/>
    <w:link w:val="HeaderChar"/>
    <w:uiPriority w:val="99"/>
    <w:unhideWhenUsed/>
    <w:rsid w:val="00BE6CC7"/>
    <w:pPr>
      <w:tabs>
        <w:tab w:val="center" w:pos="4320"/>
        <w:tab w:val="right" w:pos="8640"/>
      </w:tabs>
      <w:spacing w:before="0" w:after="0"/>
    </w:pPr>
  </w:style>
  <w:style w:type="character" w:customStyle="1" w:styleId="HeaderChar">
    <w:name w:val="Header Char"/>
    <w:basedOn w:val="DefaultParagraphFont"/>
    <w:link w:val="Header"/>
    <w:uiPriority w:val="99"/>
    <w:rsid w:val="00BE6CC7"/>
  </w:style>
  <w:style w:type="paragraph" w:styleId="Footer">
    <w:name w:val="footer"/>
    <w:basedOn w:val="Normal"/>
    <w:link w:val="FooterChar"/>
    <w:uiPriority w:val="99"/>
    <w:unhideWhenUsed/>
    <w:rsid w:val="00BE6CC7"/>
    <w:pPr>
      <w:tabs>
        <w:tab w:val="center" w:pos="4320"/>
        <w:tab w:val="right" w:pos="8640"/>
      </w:tabs>
      <w:spacing w:before="0" w:after="0"/>
    </w:pPr>
  </w:style>
  <w:style w:type="character" w:customStyle="1" w:styleId="FooterChar">
    <w:name w:val="Footer Char"/>
    <w:basedOn w:val="DefaultParagraphFont"/>
    <w:link w:val="Footer"/>
    <w:uiPriority w:val="99"/>
    <w:rsid w:val="00BE6CC7"/>
  </w:style>
  <w:style w:type="paragraph" w:styleId="BalloonText">
    <w:name w:val="Balloon Text"/>
    <w:basedOn w:val="Normal"/>
    <w:link w:val="BalloonTextChar"/>
    <w:uiPriority w:val="99"/>
    <w:semiHidden/>
    <w:unhideWhenUsed/>
    <w:rsid w:val="00BE6CC7"/>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BE6CC7"/>
    <w:rPr>
      <w:rFonts w:ascii="Lucida Grande" w:hAnsi="Lucida Grande" w:cs="Lucida Grande"/>
      <w:sz w:val="18"/>
      <w:szCs w:val="18"/>
    </w:rPr>
  </w:style>
  <w:style w:type="table" w:styleId="TableGrid">
    <w:name w:val="Table Grid"/>
    <w:basedOn w:val="TableNormal"/>
    <w:uiPriority w:val="59"/>
    <w:rsid w:val="00E808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qFormat/>
    <w:rsid w:val="00840DE1"/>
    <w:pPr>
      <w:ind w:left="720"/>
      <w:contextualSpacing/>
    </w:pPr>
  </w:style>
  <w:style w:type="paragraph" w:customStyle="1" w:styleId="StyleBookAntiqua11ptLeft075cm">
    <w:name w:val="Style Book Antiqua 11 pt Left:  0.75 cm"/>
    <w:basedOn w:val="Normal"/>
    <w:rsid w:val="00FE0FE6"/>
    <w:pPr>
      <w:spacing w:after="100"/>
      <w:ind w:left="426"/>
      <w:contextualSpacing/>
    </w:pPr>
    <w:rPr>
      <w:rFonts w:ascii="Book Antiqua" w:eastAsia="Times New Roman" w:hAnsi="Book Antiqua"/>
      <w:sz w:val="22"/>
    </w:rPr>
  </w:style>
  <w:style w:type="numbering" w:customStyle="1" w:styleId="StyleBulleted">
    <w:name w:val="Style Bulleted"/>
    <w:basedOn w:val="NoList"/>
    <w:rsid w:val="00FE0FE6"/>
    <w:pPr>
      <w:numPr>
        <w:numId w:val="11"/>
      </w:numPr>
    </w:pPr>
  </w:style>
  <w:style w:type="character" w:styleId="Hyperlink">
    <w:name w:val="Hyperlink"/>
    <w:uiPriority w:val="99"/>
    <w:unhideWhenUsed/>
    <w:rsid w:val="00B272F8"/>
    <w:rPr>
      <w:color w:val="0000FF"/>
      <w:u w:val="single"/>
    </w:rPr>
  </w:style>
  <w:style w:type="paragraph" w:styleId="PlainText">
    <w:name w:val="Plain Text"/>
    <w:basedOn w:val="Normal"/>
    <w:link w:val="PlainTextChar"/>
    <w:rsid w:val="005849AB"/>
    <w:pPr>
      <w:spacing w:before="40" w:after="40"/>
      <w:contextualSpacing/>
    </w:pPr>
    <w:rPr>
      <w:rFonts w:ascii="Book Antiqua" w:eastAsia="Times New Roman" w:hAnsi="Book Antiqua"/>
      <w:sz w:val="22"/>
      <w:lang w:val="x-none" w:eastAsia="x-none"/>
    </w:rPr>
  </w:style>
  <w:style w:type="character" w:customStyle="1" w:styleId="PlainTextChar">
    <w:name w:val="Plain Text Char"/>
    <w:link w:val="PlainText"/>
    <w:rsid w:val="005849AB"/>
    <w:rPr>
      <w:rFonts w:ascii="Book Antiqua" w:eastAsia="Times New Roman" w:hAnsi="Book Antiqua"/>
      <w:sz w:val="22"/>
      <w:szCs w:val="24"/>
    </w:rPr>
  </w:style>
  <w:style w:type="character" w:styleId="FollowedHyperlink">
    <w:name w:val="FollowedHyperlink"/>
    <w:uiPriority w:val="99"/>
    <w:semiHidden/>
    <w:unhideWhenUsed/>
    <w:rsid w:val="004130A5"/>
    <w:rPr>
      <w:color w:val="800080"/>
      <w:u w:val="single"/>
    </w:rPr>
  </w:style>
  <w:style w:type="paragraph" w:customStyle="1" w:styleId="ColorfulList-Accent11">
    <w:name w:val="Colorful List - Accent 11"/>
    <w:basedOn w:val="Normal"/>
    <w:uiPriority w:val="34"/>
    <w:qFormat/>
    <w:rsid w:val="003E0799"/>
    <w:pPr>
      <w:spacing w:before="0" w:after="200"/>
      <w:ind w:left="720"/>
      <w:contextualSpacing/>
    </w:pPr>
    <w:rPr>
      <w:rFonts w:ascii="Cambria" w:hAnsi="Cambria"/>
      <w:lang w:eastAsia="ja-JP"/>
    </w:rPr>
  </w:style>
  <w:style w:type="paragraph" w:styleId="BodyText">
    <w:name w:val="Body Text"/>
    <w:basedOn w:val="Normal"/>
    <w:link w:val="BodyTextChar"/>
    <w:uiPriority w:val="1"/>
    <w:qFormat/>
    <w:rsid w:val="00C64BF6"/>
    <w:pPr>
      <w:widowControl w:val="0"/>
      <w:spacing w:before="0" w:after="0"/>
      <w:ind w:left="1491" w:hanging="836"/>
    </w:pPr>
    <w:rPr>
      <w:rFonts w:ascii="Arial" w:eastAsia="Arial" w:hAnsi="Arial"/>
      <w:sz w:val="21"/>
      <w:szCs w:val="21"/>
    </w:rPr>
  </w:style>
  <w:style w:type="character" w:customStyle="1" w:styleId="BodyTextChar">
    <w:name w:val="Body Text Char"/>
    <w:link w:val="BodyText"/>
    <w:uiPriority w:val="1"/>
    <w:rsid w:val="00C64BF6"/>
    <w:rPr>
      <w:rFonts w:ascii="Arial" w:eastAsia="Arial" w:hAnsi="Arial"/>
      <w:sz w:val="21"/>
      <w:szCs w:val="21"/>
      <w:lang w:val="en-US"/>
    </w:rPr>
  </w:style>
  <w:style w:type="paragraph" w:styleId="ListParagraph">
    <w:name w:val="List Paragraph"/>
    <w:basedOn w:val="Normal"/>
    <w:uiPriority w:val="72"/>
    <w:qFormat/>
    <w:rsid w:val="0054260C"/>
    <w:pPr>
      <w:ind w:left="720"/>
    </w:pPr>
  </w:style>
  <w:style w:type="paragraph" w:styleId="EndnoteText">
    <w:name w:val="endnote text"/>
    <w:basedOn w:val="Normal"/>
    <w:link w:val="EndnoteTextChar"/>
    <w:uiPriority w:val="99"/>
    <w:semiHidden/>
    <w:unhideWhenUsed/>
    <w:rsid w:val="00E607F7"/>
    <w:rPr>
      <w:sz w:val="20"/>
      <w:szCs w:val="20"/>
    </w:rPr>
  </w:style>
  <w:style w:type="character" w:customStyle="1" w:styleId="EndnoteTextChar">
    <w:name w:val="Endnote Text Char"/>
    <w:link w:val="EndnoteText"/>
    <w:uiPriority w:val="99"/>
    <w:semiHidden/>
    <w:rsid w:val="00E607F7"/>
    <w:rPr>
      <w:lang w:val="en-US" w:eastAsia="en-US"/>
    </w:rPr>
  </w:style>
  <w:style w:type="character" w:styleId="EndnoteReference">
    <w:name w:val="endnote reference"/>
    <w:uiPriority w:val="99"/>
    <w:semiHidden/>
    <w:unhideWhenUsed/>
    <w:rsid w:val="00E60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fat.gov.au/icat/link_match_term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tionalsecurity.gov.au/agd/www/nationalsecurity.nsf/AllDocs/95FB057CA3DECF30CA256FAB001F7FBD?OpenDocu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fat.gov.au/icat/UNSC_financial_sanctions.html" TargetMode="External"/><Relationship Id="rId5" Type="http://schemas.openxmlformats.org/officeDocument/2006/relationships/settings" Target="settings.xml"/><Relationship Id="rId15" Type="http://schemas.openxmlformats.org/officeDocument/2006/relationships/hyperlink" Target="http://www.charity-commission.gov.uk/Our_regulatory_activity/Counter_terrorism_work/Compliance_toolkit_index.aspx"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aid.dfat.gov.au/Publications/Pages/3068_5667_7689_8674_493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3BD2C-B3CE-474B-A131-418DF951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Our Community</Company>
  <LinksUpToDate>false</LinksUpToDate>
  <CharactersWithSpaces>7188</CharactersWithSpaces>
  <SharedDoc>false</SharedDoc>
  <HLinks>
    <vt:vector size="24" baseType="variant">
      <vt:variant>
        <vt:i4>2818161</vt:i4>
      </vt:variant>
      <vt:variant>
        <vt:i4>9</vt:i4>
      </vt:variant>
      <vt:variant>
        <vt:i4>0</vt:i4>
      </vt:variant>
      <vt:variant>
        <vt:i4>5</vt:i4>
      </vt:variant>
      <vt:variant>
        <vt:lpwstr>http://www.charity-commission.gov.uk/Our_regulatory_activity/Counter_terrorism_work/Compliance_toolkit_index.aspx</vt:lpwstr>
      </vt:variant>
      <vt:variant>
        <vt:lpwstr/>
      </vt:variant>
      <vt:variant>
        <vt:i4>4587610</vt:i4>
      </vt:variant>
      <vt:variant>
        <vt:i4>6</vt:i4>
      </vt:variant>
      <vt:variant>
        <vt:i4>0</vt:i4>
      </vt:variant>
      <vt:variant>
        <vt:i4>5</vt:i4>
      </vt:variant>
      <vt:variant>
        <vt:lpwstr>http://www.ausaid.gov.au/Publications/Pages/3068_5667_7689_8674_4936.aspx</vt:lpwstr>
      </vt:variant>
      <vt:variant>
        <vt:lpwstr/>
      </vt:variant>
      <vt:variant>
        <vt:i4>589831</vt:i4>
      </vt:variant>
      <vt:variant>
        <vt:i4>3</vt:i4>
      </vt:variant>
      <vt:variant>
        <vt:i4>0</vt:i4>
      </vt:variant>
      <vt:variant>
        <vt:i4>5</vt:i4>
      </vt:variant>
      <vt:variant>
        <vt:lpwstr>http://www.nationalsecurity.gov.au/agd/www/nationalsecurity.nsf/AllDocs/95FB057CA3DECF30CA256FAB001F7FBD?OpenDocument</vt:lpwstr>
      </vt:variant>
      <vt:variant>
        <vt:lpwstr/>
      </vt:variant>
      <vt:variant>
        <vt:i4>852057</vt:i4>
      </vt:variant>
      <vt:variant>
        <vt:i4>0</vt:i4>
      </vt:variant>
      <vt:variant>
        <vt:i4>0</vt:i4>
      </vt:variant>
      <vt:variant>
        <vt:i4>5</vt:i4>
      </vt:variant>
      <vt:variant>
        <vt:lpwstr>http://www.dfat.gov.au/icat/UNSC_financial_sanctions.html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Borthwick</dc:creator>
  <cp:lastModifiedBy>MI Enquiries</cp:lastModifiedBy>
  <cp:revision>8</cp:revision>
  <dcterms:created xsi:type="dcterms:W3CDTF">2014-04-08T23:14:00Z</dcterms:created>
  <dcterms:modified xsi:type="dcterms:W3CDTF">2014-04-10T06:13:00Z</dcterms:modified>
</cp:coreProperties>
</file>